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0976" w14:textId="125FF846" w:rsidR="0026737D" w:rsidRPr="0050726E" w:rsidRDefault="0026737D" w:rsidP="0026737D">
      <w:pPr>
        <w:pStyle w:val="NormalWeb"/>
        <w:spacing w:before="120" w:beforeAutospacing="0" w:after="120" w:afterAutospacing="0"/>
        <w:ind w:left="300" w:right="150"/>
        <w:jc w:val="center"/>
        <w:rPr>
          <w:b/>
          <w:color w:val="000000"/>
        </w:rPr>
      </w:pPr>
      <w:bookmarkStart w:id="0" w:name="_GoBack"/>
      <w:bookmarkEnd w:id="0"/>
      <w:r w:rsidRPr="0050726E">
        <w:rPr>
          <w:b/>
          <w:color w:val="000000"/>
        </w:rPr>
        <w:t>Readings into Colonial/Postcolonial Encounters</w:t>
      </w:r>
    </w:p>
    <w:p w14:paraId="30119CF8" w14:textId="77777777" w:rsidR="00785304" w:rsidRPr="0050726E" w:rsidRDefault="00785304" w:rsidP="00785304">
      <w:pPr>
        <w:pStyle w:val="NormalWeb"/>
        <w:spacing w:before="120" w:beforeAutospacing="0" w:after="120" w:afterAutospacing="0"/>
        <w:ind w:left="300" w:right="150"/>
        <w:jc w:val="both"/>
        <w:rPr>
          <w:color w:val="000000"/>
        </w:rPr>
      </w:pPr>
      <w:r w:rsidRPr="0050726E">
        <w:rPr>
          <w:color w:val="000000"/>
        </w:rPr>
        <w:t xml:space="preserve">The course will deal with </w:t>
      </w:r>
      <w:r>
        <w:rPr>
          <w:color w:val="000000"/>
        </w:rPr>
        <w:t xml:space="preserve">English translations of </w:t>
      </w:r>
      <w:r w:rsidRPr="0050726E">
        <w:rPr>
          <w:color w:val="000000"/>
        </w:rPr>
        <w:t xml:space="preserve">literary works from Latin America, Africa, the Indian Ocean, the Caribbean and Europe </w:t>
      </w:r>
      <w:r>
        <w:rPr>
          <w:color w:val="000000"/>
        </w:rPr>
        <w:t>origin</w:t>
      </w:r>
      <w:r w:rsidRPr="0050726E">
        <w:rPr>
          <w:color w:val="000000"/>
        </w:rPr>
        <w:t>ally written in French, German, Italian and Spain</w:t>
      </w:r>
      <w:r>
        <w:rPr>
          <w:color w:val="000000"/>
        </w:rPr>
        <w:t>. Students will discover</w:t>
      </w:r>
      <w:r w:rsidRPr="0050726E">
        <w:rPr>
          <w:color w:val="000000"/>
        </w:rPr>
        <w:t xml:space="preserve"> </w:t>
      </w:r>
      <w:r>
        <w:rPr>
          <w:color w:val="000000"/>
        </w:rPr>
        <w:t xml:space="preserve">a series of </w:t>
      </w:r>
      <w:r w:rsidRPr="0050726E">
        <w:rPr>
          <w:color w:val="000000"/>
        </w:rPr>
        <w:t>response</w:t>
      </w:r>
      <w:r>
        <w:rPr>
          <w:color w:val="000000"/>
        </w:rPr>
        <w:t xml:space="preserve">s </w:t>
      </w:r>
      <w:r w:rsidRPr="0050726E">
        <w:rPr>
          <w:color w:val="000000"/>
        </w:rPr>
        <w:t>to colonial/postcolonial encounters from the 16</w:t>
      </w:r>
      <w:r w:rsidRPr="0050726E">
        <w:rPr>
          <w:color w:val="000000"/>
          <w:vertAlign w:val="superscript"/>
        </w:rPr>
        <w:t>th</w:t>
      </w:r>
      <w:r w:rsidRPr="0050726E">
        <w:rPr>
          <w:color w:val="000000"/>
        </w:rPr>
        <w:t xml:space="preserve"> century till the contemporary context of immigration and Diaspora. </w:t>
      </w:r>
    </w:p>
    <w:p w14:paraId="2EBFA8BE" w14:textId="7ABD4FCD" w:rsidR="00785304" w:rsidRPr="0050726E" w:rsidRDefault="00785304" w:rsidP="00785304">
      <w:pPr>
        <w:pStyle w:val="NormalWeb"/>
        <w:spacing w:before="120" w:beforeAutospacing="0" w:after="120" w:afterAutospacing="0"/>
        <w:ind w:left="300" w:right="150"/>
        <w:jc w:val="both"/>
        <w:rPr>
          <w:color w:val="000000"/>
        </w:rPr>
      </w:pPr>
      <w:r w:rsidRPr="0050726E">
        <w:rPr>
          <w:color w:val="000000"/>
        </w:rPr>
        <w:t>The course will involve the study of a selection of four texts - one from each language - drawn from the reading list</w:t>
      </w:r>
      <w:r>
        <w:rPr>
          <w:color w:val="000000"/>
        </w:rPr>
        <w:t xml:space="preserve"> </w:t>
      </w:r>
      <w:r w:rsidRPr="0050726E">
        <w:rPr>
          <w:color w:val="000000"/>
        </w:rPr>
        <w:t xml:space="preserve">and will focus on a relevant theme or issue. The course thus aims to read these works from the perspective of their historical and social moorings and their literary innovations. </w:t>
      </w:r>
    </w:p>
    <w:p w14:paraId="04A1006A" w14:textId="77777777" w:rsidR="0026737D" w:rsidRPr="00785304" w:rsidRDefault="0026737D" w:rsidP="0026737D">
      <w:pPr>
        <w:pStyle w:val="ListParagraph"/>
        <w:tabs>
          <w:tab w:val="left" w:pos="3870"/>
        </w:tabs>
        <w:ind w:left="9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99A44C" w14:textId="77777777" w:rsidR="0026737D" w:rsidRPr="000B466E" w:rsidRDefault="0026737D" w:rsidP="0026737D">
      <w:pPr>
        <w:pStyle w:val="ListParagraph"/>
        <w:tabs>
          <w:tab w:val="left" w:pos="3870"/>
        </w:tabs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Reading List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French</w:t>
      </w:r>
    </w:p>
    <w:p w14:paraId="3440BD85" w14:textId="77777777" w:rsidR="0026737D" w:rsidRPr="00331A05" w:rsidRDefault="0026737D" w:rsidP="0026737D">
      <w:pPr>
        <w:numPr>
          <w:ilvl w:val="0"/>
          <w:numId w:val="3"/>
        </w:numPr>
        <w:spacing w:line="276" w:lineRule="auto"/>
        <w:ind w:left="540"/>
        <w:jc w:val="both"/>
      </w:pPr>
      <w:r w:rsidRPr="00331A05">
        <w:t xml:space="preserve">Mongo </w:t>
      </w:r>
      <w:proofErr w:type="spellStart"/>
      <w:r w:rsidRPr="00331A05">
        <w:t>Beti</w:t>
      </w:r>
      <w:proofErr w:type="spellEnd"/>
      <w:r w:rsidRPr="00331A05">
        <w:t xml:space="preserve">, </w:t>
      </w:r>
      <w:r w:rsidRPr="00331A05">
        <w:rPr>
          <w:i/>
        </w:rPr>
        <w:t>Mission to Kala</w:t>
      </w:r>
      <w:r w:rsidRPr="00331A05">
        <w:t xml:space="preserve"> (1957), trans. version, MN: Mallory International Limited, 2008.</w:t>
      </w:r>
    </w:p>
    <w:p w14:paraId="32B35CDA" w14:textId="77777777" w:rsidR="0026737D" w:rsidRPr="00331A05" w:rsidRDefault="0026737D" w:rsidP="0026737D">
      <w:pPr>
        <w:numPr>
          <w:ilvl w:val="0"/>
          <w:numId w:val="3"/>
        </w:numPr>
        <w:spacing w:line="276" w:lineRule="auto"/>
        <w:ind w:left="540"/>
        <w:jc w:val="both"/>
      </w:pPr>
      <w:proofErr w:type="spellStart"/>
      <w:r w:rsidRPr="00331A05">
        <w:t>Assia</w:t>
      </w:r>
      <w:proofErr w:type="spellEnd"/>
      <w:r w:rsidRPr="00331A05">
        <w:t xml:space="preserve"> </w:t>
      </w:r>
      <w:proofErr w:type="spellStart"/>
      <w:r w:rsidRPr="00331A05">
        <w:t>Djebar</w:t>
      </w:r>
      <w:proofErr w:type="spellEnd"/>
      <w:r w:rsidRPr="00331A05">
        <w:t xml:space="preserve">, </w:t>
      </w:r>
      <w:r w:rsidRPr="00331A05">
        <w:rPr>
          <w:i/>
        </w:rPr>
        <w:t>Children of the new world</w:t>
      </w:r>
      <w:r w:rsidRPr="00331A05">
        <w:rPr>
          <w:shd w:val="clear" w:color="auto" w:fill="FFFFFF"/>
        </w:rPr>
        <w:t xml:space="preserve"> (1962), trans. by </w:t>
      </w:r>
      <w:proofErr w:type="spellStart"/>
      <w:r w:rsidRPr="00331A05">
        <w:rPr>
          <w:color w:val="000000"/>
          <w:bdr w:val="none" w:sz="0" w:space="0" w:color="auto" w:frame="1"/>
        </w:rPr>
        <w:t>Marjolijn</w:t>
      </w:r>
      <w:proofErr w:type="spellEnd"/>
      <w:r w:rsidRPr="00331A05">
        <w:rPr>
          <w:color w:val="000000"/>
          <w:bdr w:val="none" w:sz="0" w:space="0" w:color="auto" w:frame="1"/>
        </w:rPr>
        <w:t xml:space="preserve"> de </w:t>
      </w:r>
      <w:proofErr w:type="spellStart"/>
      <w:r w:rsidRPr="00331A05">
        <w:rPr>
          <w:color w:val="000000"/>
          <w:bdr w:val="none" w:sz="0" w:space="0" w:color="auto" w:frame="1"/>
        </w:rPr>
        <w:t>Jager</w:t>
      </w:r>
      <w:proofErr w:type="spellEnd"/>
      <w:r w:rsidRPr="00331A05">
        <w:rPr>
          <w:color w:val="000000"/>
          <w:bdr w:val="none" w:sz="0" w:space="0" w:color="auto" w:frame="1"/>
        </w:rPr>
        <w:t xml:space="preserve">, </w:t>
      </w:r>
      <w:proofErr w:type="spellStart"/>
      <w:r w:rsidRPr="00331A05">
        <w:rPr>
          <w:color w:val="000000"/>
          <w:bdr w:val="none" w:sz="0" w:space="0" w:color="auto" w:frame="1"/>
        </w:rPr>
        <w:t>Cuny</w:t>
      </w:r>
      <w:proofErr w:type="spellEnd"/>
      <w:r w:rsidRPr="00331A05">
        <w:rPr>
          <w:color w:val="000000"/>
          <w:bdr w:val="none" w:sz="0" w:space="0" w:color="auto" w:frame="1"/>
        </w:rPr>
        <w:t xml:space="preserve">: </w:t>
      </w:r>
      <w:proofErr w:type="gramStart"/>
      <w:r w:rsidRPr="00331A05">
        <w:t xml:space="preserve">The </w:t>
      </w:r>
      <w:r w:rsidRPr="00331A05">
        <w:rPr>
          <w:shd w:val="clear" w:color="auto" w:fill="FFFFFF"/>
        </w:rPr>
        <w:t xml:space="preserve"> Feminist</w:t>
      </w:r>
      <w:proofErr w:type="gramEnd"/>
      <w:r w:rsidRPr="00331A05">
        <w:rPr>
          <w:shd w:val="clear" w:color="auto" w:fill="FFFFFF"/>
        </w:rPr>
        <w:t xml:space="preserve"> Press, 2005.</w:t>
      </w:r>
    </w:p>
    <w:p w14:paraId="25FDE041" w14:textId="77777777" w:rsidR="0026737D" w:rsidRPr="00331A05" w:rsidRDefault="0026737D" w:rsidP="0026737D">
      <w:pPr>
        <w:numPr>
          <w:ilvl w:val="0"/>
          <w:numId w:val="3"/>
        </w:numPr>
        <w:spacing w:line="276" w:lineRule="auto"/>
        <w:ind w:left="540"/>
        <w:jc w:val="both"/>
      </w:pPr>
      <w:proofErr w:type="spellStart"/>
      <w:r w:rsidRPr="00331A05">
        <w:rPr>
          <w:shd w:val="clear" w:color="auto" w:fill="FFFFFF"/>
        </w:rPr>
        <w:t>Edouard</w:t>
      </w:r>
      <w:proofErr w:type="spellEnd"/>
      <w:r w:rsidRPr="00331A05">
        <w:rPr>
          <w:shd w:val="clear" w:color="auto" w:fill="FFFFFF"/>
        </w:rPr>
        <w:t xml:space="preserve"> </w:t>
      </w:r>
      <w:proofErr w:type="spellStart"/>
      <w:r w:rsidRPr="00331A05">
        <w:rPr>
          <w:shd w:val="clear" w:color="auto" w:fill="FFFFFF"/>
        </w:rPr>
        <w:t>Glissant</w:t>
      </w:r>
      <w:proofErr w:type="spellEnd"/>
      <w:r w:rsidRPr="00331A05">
        <w:rPr>
          <w:shd w:val="clear" w:color="auto" w:fill="FFFFFF"/>
        </w:rPr>
        <w:t xml:space="preserve">, </w:t>
      </w:r>
      <w:r w:rsidRPr="00331A05">
        <w:rPr>
          <w:i/>
          <w:shd w:val="clear" w:color="auto" w:fill="FFFFFF"/>
        </w:rPr>
        <w:t xml:space="preserve">Le </w:t>
      </w:r>
      <w:proofErr w:type="spellStart"/>
      <w:r w:rsidRPr="00331A05">
        <w:rPr>
          <w:i/>
          <w:shd w:val="clear" w:color="auto" w:fill="FFFFFF"/>
        </w:rPr>
        <w:t>quatrième</w:t>
      </w:r>
      <w:proofErr w:type="spellEnd"/>
      <w:r w:rsidRPr="00331A05">
        <w:rPr>
          <w:i/>
          <w:shd w:val="clear" w:color="auto" w:fill="FFFFFF"/>
        </w:rPr>
        <w:t xml:space="preserve"> siècle </w:t>
      </w:r>
      <w:r w:rsidRPr="00331A05">
        <w:rPr>
          <w:shd w:val="clear" w:color="auto" w:fill="FFFFFF"/>
        </w:rPr>
        <w:t>(1964), trans. as</w:t>
      </w:r>
      <w:r w:rsidRPr="00331A05">
        <w:rPr>
          <w:i/>
          <w:shd w:val="clear" w:color="auto" w:fill="FFFFFF"/>
        </w:rPr>
        <w:t xml:space="preserve"> The Fourth Century</w:t>
      </w:r>
      <w:r w:rsidRPr="00331A05">
        <w:rPr>
          <w:shd w:val="clear" w:color="auto" w:fill="FFFFFF"/>
        </w:rPr>
        <w:t xml:space="preserve"> by Betsy Wing, Lincoln, NE: University of Nebraska Press, 2001.</w:t>
      </w:r>
    </w:p>
    <w:p w14:paraId="1790D4EA" w14:textId="77777777" w:rsidR="0026737D" w:rsidRPr="00331A05" w:rsidRDefault="0026737D" w:rsidP="0026737D">
      <w:pPr>
        <w:numPr>
          <w:ilvl w:val="0"/>
          <w:numId w:val="3"/>
        </w:numPr>
        <w:spacing w:line="276" w:lineRule="auto"/>
        <w:ind w:left="540"/>
        <w:jc w:val="both"/>
      </w:pPr>
      <w:proofErr w:type="spellStart"/>
      <w:r w:rsidRPr="00331A05">
        <w:t>Azouz</w:t>
      </w:r>
      <w:proofErr w:type="spellEnd"/>
      <w:r w:rsidRPr="00331A05">
        <w:t xml:space="preserve"> </w:t>
      </w:r>
      <w:proofErr w:type="spellStart"/>
      <w:r w:rsidRPr="00331A05">
        <w:t>Begag</w:t>
      </w:r>
      <w:proofErr w:type="spellEnd"/>
      <w:r w:rsidRPr="00331A05">
        <w:t xml:space="preserve">, </w:t>
      </w:r>
      <w:r w:rsidRPr="00331A05">
        <w:rPr>
          <w:i/>
        </w:rPr>
        <w:t>Shanty Town Kid</w:t>
      </w:r>
      <w:r w:rsidRPr="00331A05">
        <w:t xml:space="preserve"> </w:t>
      </w:r>
      <w:r w:rsidRPr="00442942">
        <w:rPr>
          <w:rStyle w:val="Heading2Char"/>
          <w:rFonts w:eastAsia="Calibri"/>
          <w:b/>
        </w:rPr>
        <w:t>(1986), trans. by</w:t>
      </w:r>
      <w:r w:rsidRPr="00331A05">
        <w:rPr>
          <w:rStyle w:val="Heading2Char"/>
          <w:rFonts w:eastAsia="Calibri"/>
          <w:b/>
        </w:rPr>
        <w:t xml:space="preserve"> </w:t>
      </w:r>
      <w:r w:rsidRPr="00331A05">
        <w:rPr>
          <w:rStyle w:val="ptbrand"/>
        </w:rPr>
        <w:t>Alec G. Hargreaves and Naima Wolf,</w:t>
      </w:r>
      <w:r w:rsidRPr="00331A05">
        <w:rPr>
          <w:shd w:val="clear" w:color="auto" w:fill="FFFFFF"/>
        </w:rPr>
        <w:t xml:space="preserve"> NE: University of Nebraska Press, 2007.</w:t>
      </w:r>
      <w:r w:rsidRPr="00331A05">
        <w:tab/>
        <w:t xml:space="preserve"> </w:t>
      </w:r>
    </w:p>
    <w:p w14:paraId="2A44CA6F" w14:textId="77777777" w:rsidR="0026737D" w:rsidRPr="00331A05" w:rsidRDefault="0026737D" w:rsidP="0026737D">
      <w:pPr>
        <w:numPr>
          <w:ilvl w:val="0"/>
          <w:numId w:val="3"/>
        </w:numPr>
        <w:spacing w:line="276" w:lineRule="auto"/>
        <w:ind w:left="540"/>
        <w:jc w:val="both"/>
      </w:pPr>
      <w:r w:rsidRPr="00331A05">
        <w:t xml:space="preserve">Patrick </w:t>
      </w:r>
      <w:proofErr w:type="spellStart"/>
      <w:r w:rsidRPr="00331A05">
        <w:t>Chamoiseau</w:t>
      </w:r>
      <w:proofErr w:type="spellEnd"/>
      <w:r w:rsidRPr="00331A05">
        <w:t xml:space="preserve">, </w:t>
      </w:r>
      <w:r w:rsidRPr="00331A05">
        <w:rPr>
          <w:i/>
        </w:rPr>
        <w:t>Texaco</w:t>
      </w:r>
      <w:r w:rsidRPr="00331A05">
        <w:rPr>
          <w:shd w:val="clear" w:color="auto" w:fill="FFFFFF"/>
        </w:rPr>
        <w:t xml:space="preserve"> (Paris: </w:t>
      </w:r>
      <w:proofErr w:type="spellStart"/>
      <w:r w:rsidRPr="00331A05">
        <w:rPr>
          <w:shd w:val="clear" w:color="auto" w:fill="FFFFFF"/>
        </w:rPr>
        <w:t>Gallimard</w:t>
      </w:r>
      <w:proofErr w:type="spellEnd"/>
      <w:r w:rsidRPr="00331A05">
        <w:rPr>
          <w:shd w:val="clear" w:color="auto" w:fill="FFFFFF"/>
        </w:rPr>
        <w:t xml:space="preserve">, 1992), trans. by Rose </w:t>
      </w:r>
      <w:proofErr w:type="spellStart"/>
      <w:r w:rsidRPr="00331A05">
        <w:rPr>
          <w:shd w:val="clear" w:color="auto" w:fill="FFFFFF"/>
        </w:rPr>
        <w:t>Myriam</w:t>
      </w:r>
      <w:proofErr w:type="spellEnd"/>
      <w:r w:rsidRPr="00331A05">
        <w:rPr>
          <w:shd w:val="clear" w:color="auto" w:fill="FFFFFF"/>
        </w:rPr>
        <w:t xml:space="preserve"> </w:t>
      </w:r>
      <w:proofErr w:type="spellStart"/>
      <w:r w:rsidRPr="00331A05">
        <w:rPr>
          <w:shd w:val="clear" w:color="auto" w:fill="FFFFFF"/>
        </w:rPr>
        <w:t>Réjouis</w:t>
      </w:r>
      <w:proofErr w:type="spellEnd"/>
      <w:r w:rsidRPr="00331A05">
        <w:rPr>
          <w:shd w:val="clear" w:color="auto" w:fill="FFFFFF"/>
        </w:rPr>
        <w:t xml:space="preserve"> and Val </w:t>
      </w:r>
      <w:proofErr w:type="spellStart"/>
      <w:r w:rsidRPr="00331A05">
        <w:rPr>
          <w:shd w:val="clear" w:color="auto" w:fill="FFFFFF"/>
        </w:rPr>
        <w:t>Vinokurov</w:t>
      </w:r>
      <w:proofErr w:type="spellEnd"/>
      <w:r w:rsidRPr="00331A05">
        <w:rPr>
          <w:shd w:val="clear" w:color="auto" w:fill="FFFFFF"/>
        </w:rPr>
        <w:t xml:space="preserve">, NY: Vintage, 1998. </w:t>
      </w:r>
    </w:p>
    <w:p w14:paraId="2C16CB5C" w14:textId="77777777" w:rsidR="0026737D" w:rsidRPr="00331A05" w:rsidRDefault="00785304" w:rsidP="0026737D">
      <w:pPr>
        <w:numPr>
          <w:ilvl w:val="0"/>
          <w:numId w:val="3"/>
        </w:numPr>
        <w:spacing w:line="276" w:lineRule="auto"/>
        <w:ind w:left="540"/>
        <w:jc w:val="both"/>
      </w:pPr>
      <w:hyperlink r:id="rId5" w:history="1">
        <w:r w:rsidR="0026737D" w:rsidRPr="00F9214F">
          <w:rPr>
            <w:rStyle w:val="Hyperlink"/>
            <w:color w:val="000000"/>
          </w:rPr>
          <w:t>Abdourahman A. Waberi</w:t>
        </w:r>
      </w:hyperlink>
      <w:r w:rsidR="0026737D" w:rsidRPr="00F9214F">
        <w:rPr>
          <w:rStyle w:val="ptbrand"/>
          <w:color w:val="000000"/>
        </w:rPr>
        <w:t xml:space="preserve">, </w:t>
      </w:r>
      <w:hyperlink r:id="rId6" w:history="1">
        <w:proofErr w:type="gramStart"/>
        <w:r w:rsidR="0026737D" w:rsidRPr="00F9214F">
          <w:rPr>
            <w:rStyle w:val="Hyperlink"/>
            <w:i/>
            <w:color w:val="000000"/>
          </w:rPr>
          <w:t>The</w:t>
        </w:r>
        <w:proofErr w:type="gramEnd"/>
        <w:r w:rsidR="0026737D" w:rsidRPr="00F9214F">
          <w:rPr>
            <w:rStyle w:val="Hyperlink"/>
            <w:i/>
            <w:color w:val="000000"/>
          </w:rPr>
          <w:t xml:space="preserve"> Land without Shadows</w:t>
        </w:r>
      </w:hyperlink>
      <w:r w:rsidR="0026737D" w:rsidRPr="00331A05">
        <w:rPr>
          <w:rStyle w:val="apple-converted-space"/>
        </w:rPr>
        <w:t xml:space="preserve"> </w:t>
      </w:r>
      <w:r w:rsidR="0026737D" w:rsidRPr="00331A05">
        <w:rPr>
          <w:rStyle w:val="ptbrand"/>
        </w:rPr>
        <w:t xml:space="preserve">(1994), trans. by Jeanne M. </w:t>
      </w:r>
      <w:proofErr w:type="spellStart"/>
      <w:r w:rsidR="0026737D" w:rsidRPr="00331A05">
        <w:rPr>
          <w:rStyle w:val="ptbrand"/>
        </w:rPr>
        <w:t>Garane</w:t>
      </w:r>
      <w:proofErr w:type="spellEnd"/>
      <w:r w:rsidR="0026737D" w:rsidRPr="00331A05">
        <w:rPr>
          <w:rStyle w:val="ptbrand"/>
        </w:rPr>
        <w:t xml:space="preserve"> and </w:t>
      </w:r>
      <w:proofErr w:type="spellStart"/>
      <w:r w:rsidR="0026737D" w:rsidRPr="00331A05">
        <w:rPr>
          <w:rStyle w:val="ptbrand"/>
        </w:rPr>
        <w:t>Nuruddin</w:t>
      </w:r>
      <w:proofErr w:type="spellEnd"/>
      <w:r w:rsidR="0026737D" w:rsidRPr="00331A05">
        <w:rPr>
          <w:rStyle w:val="ptbrand"/>
        </w:rPr>
        <w:t xml:space="preserve"> Farah</w:t>
      </w:r>
      <w:r w:rsidR="0026737D" w:rsidRPr="00331A05">
        <w:rPr>
          <w:rStyle w:val="apple-converted-space"/>
        </w:rPr>
        <w:t xml:space="preserve">, VA: </w:t>
      </w:r>
      <w:r w:rsidR="0026737D" w:rsidRPr="00331A05">
        <w:rPr>
          <w:shd w:val="clear" w:color="auto" w:fill="FFFFFF"/>
        </w:rPr>
        <w:t>University of Virginia Press, 2005.</w:t>
      </w:r>
    </w:p>
    <w:p w14:paraId="01844365" w14:textId="77777777" w:rsidR="0026737D" w:rsidRPr="00331A05" w:rsidRDefault="0026737D" w:rsidP="0026737D">
      <w:pPr>
        <w:numPr>
          <w:ilvl w:val="0"/>
          <w:numId w:val="3"/>
        </w:numPr>
        <w:spacing w:line="276" w:lineRule="auto"/>
        <w:ind w:left="540"/>
        <w:jc w:val="both"/>
        <w:rPr>
          <w:rStyle w:val="bindingandrelease"/>
        </w:rPr>
      </w:pPr>
      <w:proofErr w:type="spellStart"/>
      <w:r w:rsidRPr="00331A05">
        <w:t>Aime</w:t>
      </w:r>
      <w:proofErr w:type="spellEnd"/>
      <w:r w:rsidRPr="00331A05">
        <w:t xml:space="preserve"> </w:t>
      </w:r>
      <w:proofErr w:type="spellStart"/>
      <w:r w:rsidRPr="00331A05">
        <w:t>Cesaire</w:t>
      </w:r>
      <w:proofErr w:type="spellEnd"/>
      <w:r w:rsidRPr="00331A05">
        <w:t xml:space="preserve">, </w:t>
      </w:r>
      <w:hyperlink r:id="rId7" w:history="1">
        <w:r w:rsidRPr="00F9214F">
          <w:rPr>
            <w:rStyle w:val="Hyperlink"/>
            <w:i/>
            <w:color w:val="000000"/>
          </w:rPr>
          <w:t>Notebook of a Return to the Native Land</w:t>
        </w:r>
        <w:r w:rsidRPr="00F9214F">
          <w:rPr>
            <w:rStyle w:val="Hyperlink"/>
            <w:color w:val="000000"/>
          </w:rPr>
          <w:t xml:space="preserve"> (Wesleyan Poetry Series)</w:t>
        </w:r>
      </w:hyperlink>
      <w:r w:rsidRPr="00331A05">
        <w:t xml:space="preserve"> </w:t>
      </w:r>
      <w:r w:rsidRPr="00331A05">
        <w:rPr>
          <w:rStyle w:val="apple-converted-space"/>
        </w:rPr>
        <w:t xml:space="preserve">edited </w:t>
      </w:r>
      <w:r w:rsidRPr="00331A05">
        <w:rPr>
          <w:rStyle w:val="ptbrand"/>
        </w:rPr>
        <w:t>by Annette Smith, trans. by Clayton Eshleman</w:t>
      </w:r>
      <w:r w:rsidRPr="00331A05">
        <w:rPr>
          <w:rStyle w:val="bindingandrelease"/>
        </w:rPr>
        <w:t xml:space="preserve">, </w:t>
      </w:r>
      <w:r w:rsidRPr="00331A05">
        <w:rPr>
          <w:rStyle w:val="apple-converted-space"/>
          <w:color w:val="000000"/>
          <w:shd w:val="clear" w:color="auto" w:fill="FFFFFF"/>
        </w:rPr>
        <w:t xml:space="preserve">US: Wesleyan University </w:t>
      </w:r>
      <w:r w:rsidRPr="00331A05">
        <w:rPr>
          <w:rStyle w:val="Strong"/>
          <w:b w:val="0"/>
          <w:color w:val="000000"/>
          <w:shd w:val="clear" w:color="auto" w:fill="FFFFFF"/>
        </w:rPr>
        <w:t>Press,</w:t>
      </w:r>
      <w:r w:rsidRPr="00331A05">
        <w:rPr>
          <w:rStyle w:val="bindingandrelease"/>
          <w:color w:val="000000"/>
        </w:rPr>
        <w:t xml:space="preserve"> 2001.</w:t>
      </w:r>
    </w:p>
    <w:p w14:paraId="4A1A2B4B" w14:textId="77777777" w:rsidR="0026737D" w:rsidRPr="00331A05" w:rsidRDefault="0026737D" w:rsidP="0026737D">
      <w:pPr>
        <w:numPr>
          <w:ilvl w:val="0"/>
          <w:numId w:val="3"/>
        </w:numPr>
        <w:spacing w:line="276" w:lineRule="auto"/>
        <w:ind w:left="540"/>
        <w:jc w:val="both"/>
      </w:pPr>
      <w:proofErr w:type="spellStart"/>
      <w:r w:rsidRPr="00331A05">
        <w:t>Amadou</w:t>
      </w:r>
      <w:proofErr w:type="spellEnd"/>
      <w:r w:rsidRPr="00331A05">
        <w:t xml:space="preserve"> </w:t>
      </w:r>
      <w:proofErr w:type="spellStart"/>
      <w:r w:rsidRPr="00331A05">
        <w:t>Kourouma</w:t>
      </w:r>
      <w:proofErr w:type="spellEnd"/>
      <w:r w:rsidRPr="00331A05">
        <w:t xml:space="preserve">, </w:t>
      </w:r>
      <w:r w:rsidRPr="00331A05">
        <w:rPr>
          <w:i/>
        </w:rPr>
        <w:t>Allah is not obliged</w:t>
      </w:r>
      <w:r w:rsidRPr="00331A05">
        <w:t xml:space="preserve"> (2002), trans. by Frank Wynne, NY: </w:t>
      </w:r>
      <w:proofErr w:type="gramStart"/>
      <w:r w:rsidRPr="00331A05">
        <w:t>Anchor  Books</w:t>
      </w:r>
      <w:proofErr w:type="gramEnd"/>
      <w:r w:rsidRPr="00331A05">
        <w:t>, 2007.</w:t>
      </w:r>
    </w:p>
    <w:p w14:paraId="68FBBF86" w14:textId="77777777" w:rsidR="0026737D" w:rsidRPr="00331A05" w:rsidRDefault="0026737D" w:rsidP="0026737D">
      <w:pPr>
        <w:numPr>
          <w:ilvl w:val="0"/>
          <w:numId w:val="3"/>
        </w:numPr>
        <w:spacing w:line="276" w:lineRule="auto"/>
        <w:ind w:left="540"/>
        <w:jc w:val="both"/>
        <w:rPr>
          <w:bCs/>
        </w:rPr>
      </w:pPr>
      <w:proofErr w:type="spellStart"/>
      <w:r w:rsidRPr="00331A05">
        <w:t>Nathacha</w:t>
      </w:r>
      <w:proofErr w:type="spellEnd"/>
      <w:r w:rsidRPr="00331A05">
        <w:t xml:space="preserve"> </w:t>
      </w:r>
      <w:proofErr w:type="spellStart"/>
      <w:r w:rsidRPr="00331A05">
        <w:t>Appanah</w:t>
      </w:r>
      <w:proofErr w:type="spellEnd"/>
      <w:r w:rsidRPr="00331A05">
        <w:t xml:space="preserve">, </w:t>
      </w:r>
      <w:r w:rsidRPr="00331A05">
        <w:rPr>
          <w:i/>
        </w:rPr>
        <w:t>The Last Brother</w:t>
      </w:r>
      <w:r w:rsidRPr="00331A05">
        <w:rPr>
          <w:bCs/>
        </w:rPr>
        <w:t xml:space="preserve"> (2007), t</w:t>
      </w:r>
      <w:r w:rsidRPr="00331A05">
        <w:rPr>
          <w:color w:val="4C290D"/>
          <w:shd w:val="clear" w:color="auto" w:fill="FFFFFF"/>
        </w:rPr>
        <w:t>rans. by Geoffrey Strachan,</w:t>
      </w:r>
      <w:r w:rsidRPr="00331A05">
        <w:rPr>
          <w:rStyle w:val="searchterm"/>
          <w:color w:val="4C290D"/>
          <w:shd w:val="clear" w:color="auto" w:fill="FFFFFF"/>
        </w:rPr>
        <w:t xml:space="preserve"> </w:t>
      </w:r>
      <w:r w:rsidRPr="00331A05">
        <w:rPr>
          <w:color w:val="222222"/>
          <w:shd w:val="clear" w:color="auto" w:fill="FFFFFF"/>
        </w:rPr>
        <w:t>Minneapolis</w:t>
      </w:r>
      <w:r w:rsidRPr="00331A05">
        <w:rPr>
          <w:rStyle w:val="searchterm"/>
          <w:color w:val="4C290D"/>
          <w:shd w:val="clear" w:color="auto" w:fill="FFFFFF"/>
        </w:rPr>
        <w:t>:  Graywolf</w:t>
      </w:r>
      <w:proofErr w:type="gramStart"/>
      <w:r w:rsidRPr="00331A05">
        <w:rPr>
          <w:rStyle w:val="apple-converted-space"/>
          <w:color w:val="4C290D"/>
          <w:shd w:val="clear" w:color="auto" w:fill="FFFFFF"/>
        </w:rPr>
        <w:t xml:space="preserve">  </w:t>
      </w:r>
      <w:r w:rsidRPr="00331A05">
        <w:rPr>
          <w:color w:val="4C290D"/>
          <w:shd w:val="clear" w:color="auto" w:fill="FFFFFF"/>
        </w:rPr>
        <w:t>Press</w:t>
      </w:r>
      <w:proofErr w:type="gramEnd"/>
      <w:r w:rsidRPr="00331A05">
        <w:rPr>
          <w:color w:val="4C290D"/>
          <w:shd w:val="clear" w:color="auto" w:fill="FFFFFF"/>
        </w:rPr>
        <w:t xml:space="preserve">, </w:t>
      </w:r>
      <w:r w:rsidRPr="00331A05">
        <w:rPr>
          <w:bCs/>
        </w:rPr>
        <w:t>2011.</w:t>
      </w:r>
    </w:p>
    <w:p w14:paraId="1CEF76D6" w14:textId="77777777" w:rsidR="0026737D" w:rsidRPr="00331A05" w:rsidRDefault="0026737D" w:rsidP="0026737D">
      <w:pPr>
        <w:numPr>
          <w:ilvl w:val="0"/>
          <w:numId w:val="3"/>
        </w:numPr>
        <w:spacing w:line="276" w:lineRule="auto"/>
        <w:ind w:left="540"/>
        <w:jc w:val="both"/>
      </w:pPr>
      <w:proofErr w:type="spellStart"/>
      <w:r w:rsidRPr="000B466E">
        <w:t>Dany</w:t>
      </w:r>
      <w:proofErr w:type="spellEnd"/>
      <w:r w:rsidRPr="000B466E">
        <w:t xml:space="preserve"> </w:t>
      </w:r>
      <w:proofErr w:type="spellStart"/>
      <w:r w:rsidRPr="000B466E">
        <w:t>Laferriere</w:t>
      </w:r>
      <w:proofErr w:type="spellEnd"/>
      <w:r w:rsidRPr="00442942">
        <w:t xml:space="preserve">, </w:t>
      </w:r>
      <w:hyperlink r:id="rId8" w:history="1">
        <w:proofErr w:type="gramStart"/>
        <w:r w:rsidRPr="00442942">
          <w:rPr>
            <w:rStyle w:val="Hyperlink"/>
            <w:i/>
            <w:iCs/>
            <w:color w:val="000000"/>
            <w:shd w:val="clear" w:color="auto" w:fill="FFFFFF"/>
          </w:rPr>
          <w:t>The</w:t>
        </w:r>
        <w:proofErr w:type="gramEnd"/>
        <w:r w:rsidRPr="00442942">
          <w:rPr>
            <w:rStyle w:val="Hyperlink"/>
            <w:i/>
            <w:iCs/>
            <w:color w:val="000000"/>
            <w:shd w:val="clear" w:color="auto" w:fill="FFFFFF"/>
          </w:rPr>
          <w:t xml:space="preserve"> Return</w:t>
        </w:r>
      </w:hyperlink>
      <w:r w:rsidRPr="000B466E">
        <w:t xml:space="preserve"> (2009), </w:t>
      </w:r>
      <w:r w:rsidRPr="000B466E">
        <w:rPr>
          <w:color w:val="111111"/>
          <w:shd w:val="clear" w:color="auto" w:fill="FFFFFF"/>
        </w:rPr>
        <w:t xml:space="preserve">trans. by David </w:t>
      </w:r>
      <w:proofErr w:type="spellStart"/>
      <w:r w:rsidRPr="000B466E">
        <w:rPr>
          <w:color w:val="111111"/>
          <w:shd w:val="clear" w:color="auto" w:fill="FFFFFF"/>
        </w:rPr>
        <w:t>Homel</w:t>
      </w:r>
      <w:proofErr w:type="spellEnd"/>
      <w:r w:rsidRPr="000B466E">
        <w:rPr>
          <w:color w:val="111111"/>
          <w:shd w:val="clear" w:color="auto" w:fill="FFFFFF"/>
        </w:rPr>
        <w:t xml:space="preserve">, Vancouver BC: Douglas &amp; </w:t>
      </w:r>
      <w:proofErr w:type="spellStart"/>
      <w:r w:rsidRPr="000B466E">
        <w:rPr>
          <w:color w:val="111111"/>
          <w:shd w:val="clear" w:color="auto" w:fill="FFFFFF"/>
        </w:rPr>
        <w:t>Mcintyre</w:t>
      </w:r>
      <w:proofErr w:type="spellEnd"/>
      <w:r w:rsidRPr="000B466E">
        <w:rPr>
          <w:color w:val="111111"/>
          <w:shd w:val="clear" w:color="auto" w:fill="FFFFFF"/>
        </w:rPr>
        <w:t xml:space="preserve">, 2011.  </w:t>
      </w:r>
      <w:r w:rsidRPr="000B466E">
        <w:t xml:space="preserve">   </w:t>
      </w:r>
      <w:r w:rsidRPr="000B466E">
        <w:rPr>
          <w:shd w:val="clear" w:color="auto" w:fill="FFFFFF"/>
        </w:rPr>
        <w:tab/>
      </w:r>
    </w:p>
    <w:p w14:paraId="29AEAC96" w14:textId="77777777" w:rsidR="0026737D" w:rsidRDefault="0026737D" w:rsidP="0026737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1FBCDA" w14:textId="77777777" w:rsidR="0026737D" w:rsidRPr="00D15BC3" w:rsidRDefault="0026737D" w:rsidP="0026737D">
      <w:pPr>
        <w:jc w:val="both"/>
      </w:pPr>
    </w:p>
    <w:p w14:paraId="359CC02D" w14:textId="77777777" w:rsidR="0026737D" w:rsidRPr="009A65EF" w:rsidRDefault="0026737D" w:rsidP="0026737D">
      <w:pPr>
        <w:jc w:val="both"/>
        <w:rPr>
          <w:b/>
          <w:bCs/>
          <w:u w:val="single"/>
        </w:rPr>
      </w:pPr>
      <w:r>
        <w:rPr>
          <w:b/>
          <w:color w:val="000000"/>
          <w:u w:val="single"/>
        </w:rPr>
        <w:t xml:space="preserve">Reading List in </w:t>
      </w:r>
      <w:r>
        <w:rPr>
          <w:b/>
          <w:u w:val="single"/>
        </w:rPr>
        <w:t>German</w:t>
      </w:r>
    </w:p>
    <w:p w14:paraId="5985550A" w14:textId="77777777" w:rsidR="0026737D" w:rsidRPr="00D15BC3" w:rsidRDefault="0026737D" w:rsidP="0026737D">
      <w:pPr>
        <w:widowControl w:val="0"/>
        <w:numPr>
          <w:ilvl w:val="0"/>
          <w:numId w:val="1"/>
        </w:numPr>
        <w:tabs>
          <w:tab w:val="clear" w:pos="720"/>
        </w:tabs>
        <w:suppressAutoHyphens/>
        <w:jc w:val="both"/>
        <w:rPr>
          <w:rStyle w:val="Emphasis"/>
          <w:rFonts w:eastAsia="Droid Sans Fallback"/>
          <w:i w:val="0"/>
          <w:color w:val="000000"/>
        </w:rPr>
      </w:pPr>
      <w:r w:rsidRPr="00D15BC3">
        <w:t xml:space="preserve">Heinrich von Kleist: </w:t>
      </w:r>
      <w:r w:rsidRPr="00F2100B">
        <w:rPr>
          <w:rStyle w:val="Emphasis"/>
          <w:rFonts w:eastAsia="Droid Sans Fallback"/>
          <w:color w:val="000000"/>
        </w:rPr>
        <w:t>Betrothal in St. Domingo. In: Heinrich von Kleist: The Marquise of O</w:t>
      </w:r>
      <w:proofErr w:type="gramStart"/>
      <w:r w:rsidRPr="00F2100B">
        <w:rPr>
          <w:rStyle w:val="Emphasis"/>
          <w:rFonts w:eastAsia="Droid Sans Fallback"/>
          <w:color w:val="000000"/>
        </w:rPr>
        <w:t>–  and</w:t>
      </w:r>
      <w:proofErr w:type="gramEnd"/>
      <w:r w:rsidRPr="00F2100B">
        <w:rPr>
          <w:rStyle w:val="Emphasis"/>
          <w:rFonts w:eastAsia="Droid Sans Fallback"/>
          <w:color w:val="000000"/>
        </w:rPr>
        <w:t xml:space="preserve"> Other Stories</w:t>
      </w:r>
      <w:r w:rsidRPr="00D15BC3">
        <w:rPr>
          <w:rStyle w:val="Emphasis"/>
          <w:rFonts w:eastAsia="Droid Sans Fallback"/>
          <w:i w:val="0"/>
          <w:color w:val="000000"/>
        </w:rPr>
        <w:t>. Ed. and Trans. by David Luke and Nigel Reeves. New York: Penguin Books, 1978</w:t>
      </w:r>
      <w:r>
        <w:rPr>
          <w:rStyle w:val="Emphasis"/>
          <w:rFonts w:eastAsia="Droid Sans Fallback"/>
          <w:i w:val="0"/>
          <w:color w:val="000000"/>
        </w:rPr>
        <w:t>.</w:t>
      </w:r>
    </w:p>
    <w:p w14:paraId="6B1C408A" w14:textId="77777777" w:rsidR="0026737D" w:rsidRPr="00D15BC3" w:rsidRDefault="0026737D" w:rsidP="0026737D">
      <w:pPr>
        <w:widowControl w:val="0"/>
        <w:numPr>
          <w:ilvl w:val="0"/>
          <w:numId w:val="1"/>
        </w:numPr>
        <w:tabs>
          <w:tab w:val="clear" w:pos="720"/>
        </w:tabs>
        <w:suppressAutoHyphens/>
        <w:jc w:val="both"/>
        <w:rPr>
          <w:rStyle w:val="Emphasis"/>
          <w:rFonts w:eastAsia="Droid Sans Fallback"/>
          <w:i w:val="0"/>
          <w:color w:val="000000"/>
        </w:rPr>
      </w:pPr>
      <w:r w:rsidRPr="00D15BC3">
        <w:rPr>
          <w:rStyle w:val="Emphasis"/>
          <w:rFonts w:eastAsia="Droid Sans Fallback"/>
          <w:i w:val="0"/>
          <w:color w:val="000000"/>
        </w:rPr>
        <w:t xml:space="preserve">Heinrich Heine: </w:t>
      </w:r>
      <w:r w:rsidRPr="00F2100B">
        <w:rPr>
          <w:rStyle w:val="Emphasis"/>
          <w:rFonts w:eastAsia="Droid Sans Fallback"/>
          <w:color w:val="000000"/>
        </w:rPr>
        <w:t>The Slave Ship. In: The Complete Poems of Heinrich Heine: A Modern English Version</w:t>
      </w:r>
      <w:r w:rsidRPr="00D15BC3">
        <w:rPr>
          <w:rStyle w:val="Emphasis"/>
          <w:rFonts w:eastAsia="Droid Sans Fallback"/>
          <w:i w:val="0"/>
          <w:color w:val="000000"/>
        </w:rPr>
        <w:t xml:space="preserve"> by Hal Draper, Boston: </w:t>
      </w:r>
      <w:proofErr w:type="spellStart"/>
      <w:r w:rsidRPr="00D15BC3">
        <w:rPr>
          <w:rStyle w:val="Emphasis"/>
          <w:rFonts w:eastAsia="Droid Sans Fallback"/>
          <w:i w:val="0"/>
          <w:color w:val="000000"/>
        </w:rPr>
        <w:t>Suhrkamp</w:t>
      </w:r>
      <w:proofErr w:type="spellEnd"/>
      <w:r w:rsidRPr="00D15BC3">
        <w:rPr>
          <w:rStyle w:val="Emphasis"/>
          <w:rFonts w:eastAsia="Droid Sans Fallback"/>
          <w:i w:val="0"/>
          <w:color w:val="000000"/>
        </w:rPr>
        <w:t>/</w:t>
      </w:r>
      <w:proofErr w:type="spellStart"/>
      <w:r w:rsidRPr="00D15BC3">
        <w:rPr>
          <w:rStyle w:val="Emphasis"/>
          <w:rFonts w:eastAsia="Droid Sans Fallback"/>
          <w:i w:val="0"/>
          <w:color w:val="000000"/>
        </w:rPr>
        <w:t>Insel</w:t>
      </w:r>
      <w:proofErr w:type="spellEnd"/>
      <w:r w:rsidRPr="00D15BC3">
        <w:rPr>
          <w:rStyle w:val="Emphasis"/>
          <w:rFonts w:eastAsia="Droid Sans Fallback"/>
          <w:i w:val="0"/>
          <w:color w:val="000000"/>
        </w:rPr>
        <w:t xml:space="preserve"> Publishers, 1982.</w:t>
      </w:r>
    </w:p>
    <w:p w14:paraId="35E4DB28" w14:textId="77777777" w:rsidR="0026737D" w:rsidRPr="00D15BC3" w:rsidRDefault="0026737D" w:rsidP="0026737D">
      <w:pPr>
        <w:widowControl w:val="0"/>
        <w:numPr>
          <w:ilvl w:val="0"/>
          <w:numId w:val="1"/>
        </w:numPr>
        <w:tabs>
          <w:tab w:val="clear" w:pos="720"/>
        </w:tabs>
        <w:suppressAutoHyphens/>
        <w:jc w:val="both"/>
        <w:rPr>
          <w:rStyle w:val="Emphasis"/>
          <w:rFonts w:eastAsia="Droid Sans Fallback"/>
          <w:i w:val="0"/>
          <w:color w:val="000000"/>
        </w:rPr>
      </w:pPr>
      <w:r w:rsidRPr="00D15BC3">
        <w:rPr>
          <w:rStyle w:val="Emphasis"/>
          <w:rFonts w:eastAsia="Droid Sans Fallback"/>
          <w:i w:val="0"/>
          <w:color w:val="000000"/>
        </w:rPr>
        <w:t xml:space="preserve">Franz Kafka: </w:t>
      </w:r>
      <w:r w:rsidRPr="00F2100B">
        <w:rPr>
          <w:rStyle w:val="Emphasis"/>
          <w:rFonts w:eastAsia="Droid Sans Fallback"/>
          <w:color w:val="000000"/>
        </w:rPr>
        <w:t>A Report to an Academy</w:t>
      </w:r>
      <w:r w:rsidRPr="00D15BC3">
        <w:rPr>
          <w:rStyle w:val="Emphasis"/>
          <w:rFonts w:eastAsia="Droid Sans Fallback"/>
          <w:i w:val="0"/>
          <w:color w:val="000000"/>
        </w:rPr>
        <w:t xml:space="preserve">. In: Franz Kafka: </w:t>
      </w:r>
      <w:r w:rsidRPr="00F2100B">
        <w:rPr>
          <w:rStyle w:val="Emphasis"/>
          <w:rFonts w:eastAsia="Droid Sans Fallback"/>
          <w:color w:val="000000"/>
        </w:rPr>
        <w:t>The Complete Stories</w:t>
      </w:r>
      <w:r w:rsidRPr="00D15BC3">
        <w:rPr>
          <w:rStyle w:val="Emphasis"/>
          <w:rFonts w:eastAsia="Droid Sans Fallback"/>
          <w:i w:val="0"/>
          <w:color w:val="000000"/>
        </w:rPr>
        <w:t xml:space="preserve">. Ed. Nahum N. Glatzer. New York: </w:t>
      </w:r>
      <w:proofErr w:type="spellStart"/>
      <w:r w:rsidRPr="00D15BC3">
        <w:rPr>
          <w:rStyle w:val="Emphasis"/>
          <w:rFonts w:eastAsia="Droid Sans Fallback"/>
          <w:i w:val="0"/>
          <w:color w:val="000000"/>
        </w:rPr>
        <w:t>Schocken</w:t>
      </w:r>
      <w:proofErr w:type="spellEnd"/>
      <w:r w:rsidRPr="00D15BC3">
        <w:rPr>
          <w:rStyle w:val="Emphasis"/>
          <w:rFonts w:eastAsia="Droid Sans Fallback"/>
          <w:i w:val="0"/>
          <w:color w:val="000000"/>
        </w:rPr>
        <w:t xml:space="preserve"> Books, 1995.</w:t>
      </w:r>
    </w:p>
    <w:p w14:paraId="27B84C19" w14:textId="77777777" w:rsidR="0026737D" w:rsidRPr="00D15BC3" w:rsidRDefault="0026737D" w:rsidP="0026737D">
      <w:pPr>
        <w:pStyle w:val="FootnoteText"/>
        <w:numPr>
          <w:ilvl w:val="0"/>
          <w:numId w:val="1"/>
        </w:numPr>
        <w:tabs>
          <w:tab w:val="clear" w:pos="720"/>
        </w:tabs>
        <w:jc w:val="both"/>
        <w:rPr>
          <w:rStyle w:val="Emphasis"/>
          <w:i w:val="0"/>
          <w:sz w:val="24"/>
          <w:szCs w:val="24"/>
        </w:rPr>
      </w:pPr>
      <w:r w:rsidRPr="00D15BC3">
        <w:rPr>
          <w:rStyle w:val="Emphasis"/>
          <w:rFonts w:cs="Times New Roman"/>
          <w:i w:val="0"/>
          <w:color w:val="000000"/>
          <w:sz w:val="24"/>
          <w:szCs w:val="24"/>
        </w:rPr>
        <w:t xml:space="preserve">Peter Weiss: </w:t>
      </w:r>
      <w:r w:rsidRPr="00F2100B">
        <w:rPr>
          <w:rStyle w:val="Emphasis"/>
          <w:rFonts w:cs="Times New Roman"/>
          <w:color w:val="000000"/>
          <w:sz w:val="24"/>
          <w:szCs w:val="24"/>
        </w:rPr>
        <w:t>Two Plays: Song of the Lusitanian Bogey and Discourse on Viet Nam</w:t>
      </w:r>
      <w:r w:rsidRPr="00D15BC3">
        <w:rPr>
          <w:rStyle w:val="Emphasis"/>
          <w:rFonts w:cs="Times New Roman"/>
          <w:i w:val="0"/>
          <w:color w:val="000000"/>
          <w:sz w:val="24"/>
          <w:szCs w:val="24"/>
        </w:rPr>
        <w:t xml:space="preserve">. </w:t>
      </w:r>
      <w:r w:rsidRPr="00D15BC3">
        <w:rPr>
          <w:rStyle w:val="Emphasis"/>
          <w:i w:val="0"/>
          <w:sz w:val="24"/>
          <w:szCs w:val="24"/>
        </w:rPr>
        <w:t xml:space="preserve">New York: </w:t>
      </w:r>
      <w:proofErr w:type="spellStart"/>
      <w:r w:rsidRPr="00D15BC3">
        <w:rPr>
          <w:rStyle w:val="Emphasis"/>
          <w:i w:val="0"/>
          <w:sz w:val="24"/>
          <w:szCs w:val="24"/>
        </w:rPr>
        <w:t>Atheneum</w:t>
      </w:r>
      <w:proofErr w:type="spellEnd"/>
      <w:r w:rsidRPr="00D15BC3">
        <w:rPr>
          <w:rStyle w:val="Emphasis"/>
          <w:i w:val="0"/>
          <w:sz w:val="24"/>
          <w:szCs w:val="24"/>
        </w:rPr>
        <w:t>, 1970.</w:t>
      </w:r>
    </w:p>
    <w:p w14:paraId="644C2842" w14:textId="77777777" w:rsidR="0026737D" w:rsidRPr="00D15BC3" w:rsidRDefault="0026737D" w:rsidP="0026737D">
      <w:pPr>
        <w:pStyle w:val="FootnoteText"/>
        <w:numPr>
          <w:ilvl w:val="0"/>
          <w:numId w:val="1"/>
        </w:numPr>
        <w:tabs>
          <w:tab w:val="clear" w:pos="720"/>
        </w:tabs>
        <w:jc w:val="both"/>
        <w:rPr>
          <w:rStyle w:val="FootnoteReference"/>
          <w:sz w:val="24"/>
          <w:szCs w:val="24"/>
        </w:rPr>
      </w:pPr>
      <w:proofErr w:type="spellStart"/>
      <w:r w:rsidRPr="00D15BC3">
        <w:rPr>
          <w:rStyle w:val="FootnoteReference"/>
          <w:sz w:val="24"/>
          <w:szCs w:val="24"/>
        </w:rPr>
        <w:t>Uwe</w:t>
      </w:r>
      <w:proofErr w:type="spellEnd"/>
      <w:r w:rsidRPr="00D15BC3">
        <w:rPr>
          <w:rStyle w:val="FootnoteReference"/>
          <w:sz w:val="24"/>
          <w:szCs w:val="24"/>
        </w:rPr>
        <w:t xml:space="preserve"> </w:t>
      </w:r>
      <w:proofErr w:type="spellStart"/>
      <w:r w:rsidRPr="00D15BC3">
        <w:rPr>
          <w:rStyle w:val="FootnoteReference"/>
          <w:sz w:val="24"/>
          <w:szCs w:val="24"/>
        </w:rPr>
        <w:t>Timm</w:t>
      </w:r>
      <w:proofErr w:type="spellEnd"/>
      <w:r w:rsidRPr="00D15BC3">
        <w:rPr>
          <w:rStyle w:val="FootnoteReference"/>
          <w:sz w:val="24"/>
          <w:szCs w:val="24"/>
        </w:rPr>
        <w:t xml:space="preserve">: </w:t>
      </w:r>
      <w:proofErr w:type="spellStart"/>
      <w:r w:rsidRPr="00F2100B">
        <w:rPr>
          <w:rStyle w:val="FootnoteReference"/>
          <w:i/>
          <w:sz w:val="24"/>
          <w:szCs w:val="24"/>
        </w:rPr>
        <w:t>Morenga</w:t>
      </w:r>
      <w:proofErr w:type="spellEnd"/>
      <w:r w:rsidRPr="00D15BC3">
        <w:rPr>
          <w:rStyle w:val="FootnoteReference"/>
          <w:sz w:val="24"/>
          <w:szCs w:val="24"/>
        </w:rPr>
        <w:t xml:space="preserve">. Trans. </w:t>
      </w:r>
      <w:proofErr w:type="spellStart"/>
      <w:r w:rsidRPr="00D15BC3">
        <w:rPr>
          <w:rStyle w:val="FootnoteReference"/>
          <w:sz w:val="24"/>
          <w:szCs w:val="24"/>
        </w:rPr>
        <w:t>Breon</w:t>
      </w:r>
      <w:proofErr w:type="spellEnd"/>
      <w:r w:rsidRPr="00D15BC3">
        <w:rPr>
          <w:rStyle w:val="FootnoteReference"/>
          <w:sz w:val="24"/>
          <w:szCs w:val="24"/>
        </w:rPr>
        <w:t xml:space="preserve"> Mitchell. New York: New Directions, 2003</w:t>
      </w:r>
      <w:r>
        <w:rPr>
          <w:sz w:val="24"/>
          <w:szCs w:val="24"/>
        </w:rPr>
        <w:t>.</w:t>
      </w:r>
    </w:p>
    <w:p w14:paraId="58B14943" w14:textId="77777777" w:rsidR="0026737D" w:rsidRPr="00D15BC3" w:rsidRDefault="0026737D" w:rsidP="0026737D">
      <w:pPr>
        <w:widowControl w:val="0"/>
        <w:numPr>
          <w:ilvl w:val="0"/>
          <w:numId w:val="1"/>
        </w:numPr>
        <w:tabs>
          <w:tab w:val="clear" w:pos="720"/>
        </w:tabs>
        <w:suppressAutoHyphens/>
        <w:jc w:val="both"/>
        <w:rPr>
          <w:color w:val="000000"/>
        </w:rPr>
      </w:pPr>
      <w:r w:rsidRPr="00D15BC3">
        <w:lastRenderedPageBreak/>
        <w:t xml:space="preserve">Heiner Müller: </w:t>
      </w:r>
      <w:r w:rsidRPr="00F2100B">
        <w:rPr>
          <w:i/>
          <w:color w:val="000000"/>
        </w:rPr>
        <w:t>The Mission: Memory of a Revolution</w:t>
      </w:r>
      <w:r w:rsidRPr="00D15BC3">
        <w:rPr>
          <w:color w:val="000000"/>
        </w:rPr>
        <w:t xml:space="preserve">. In: Marc von Henning (Ed.): </w:t>
      </w:r>
      <w:proofErr w:type="spellStart"/>
      <w:r w:rsidRPr="00D15BC3">
        <w:rPr>
          <w:color w:val="000000"/>
        </w:rPr>
        <w:t>Heiner</w:t>
      </w:r>
      <w:proofErr w:type="spellEnd"/>
      <w:r w:rsidRPr="00D15BC3">
        <w:rPr>
          <w:color w:val="000000"/>
        </w:rPr>
        <w:t xml:space="preserve"> Müller: </w:t>
      </w:r>
      <w:proofErr w:type="spellStart"/>
      <w:r w:rsidRPr="00F2100B">
        <w:rPr>
          <w:i/>
          <w:color w:val="000000"/>
        </w:rPr>
        <w:t>Theatremachine</w:t>
      </w:r>
      <w:proofErr w:type="spellEnd"/>
      <w:r w:rsidRPr="00D15BC3">
        <w:rPr>
          <w:color w:val="000000"/>
        </w:rPr>
        <w:t>. Faber and Faber Limited. London, 1995</w:t>
      </w:r>
      <w:r>
        <w:rPr>
          <w:color w:val="000000"/>
        </w:rPr>
        <w:t>.</w:t>
      </w:r>
      <w:r w:rsidRPr="00D15BC3">
        <w:rPr>
          <w:color w:val="000000"/>
        </w:rPr>
        <w:t xml:space="preserve"> </w:t>
      </w:r>
    </w:p>
    <w:p w14:paraId="24546EA7" w14:textId="77777777" w:rsidR="0026737D" w:rsidRPr="00D15BC3" w:rsidRDefault="0026737D" w:rsidP="0026737D">
      <w:pPr>
        <w:pStyle w:val="FootnoteText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proofErr w:type="spellStart"/>
      <w:r w:rsidRPr="00D15BC3">
        <w:rPr>
          <w:sz w:val="24"/>
          <w:szCs w:val="24"/>
        </w:rPr>
        <w:t>Jakob</w:t>
      </w:r>
      <w:proofErr w:type="spellEnd"/>
      <w:r w:rsidRPr="00D15BC3">
        <w:rPr>
          <w:sz w:val="24"/>
          <w:szCs w:val="24"/>
        </w:rPr>
        <w:t xml:space="preserve"> </w:t>
      </w:r>
      <w:proofErr w:type="spellStart"/>
      <w:r w:rsidRPr="00D15BC3">
        <w:rPr>
          <w:sz w:val="24"/>
          <w:szCs w:val="24"/>
        </w:rPr>
        <w:t>Arjouni</w:t>
      </w:r>
      <w:proofErr w:type="spellEnd"/>
      <w:r w:rsidRPr="00D15BC3">
        <w:rPr>
          <w:sz w:val="24"/>
          <w:szCs w:val="24"/>
        </w:rPr>
        <w:t xml:space="preserve">: </w:t>
      </w:r>
      <w:r w:rsidRPr="00F2100B">
        <w:rPr>
          <w:i/>
          <w:sz w:val="24"/>
          <w:szCs w:val="24"/>
        </w:rPr>
        <w:t>Happy Birthday, Turk</w:t>
      </w:r>
      <w:r w:rsidRPr="00D15BC3">
        <w:rPr>
          <w:sz w:val="24"/>
          <w:szCs w:val="24"/>
        </w:rPr>
        <w:t>! Trans. Anselm Hollo. Brooklyn, N.Y.: Melville House, 2011</w:t>
      </w:r>
      <w:r>
        <w:rPr>
          <w:sz w:val="24"/>
          <w:szCs w:val="24"/>
        </w:rPr>
        <w:t>.</w:t>
      </w:r>
    </w:p>
    <w:p w14:paraId="5625B1F1" w14:textId="77777777" w:rsidR="0026737D" w:rsidRPr="00D15BC3" w:rsidRDefault="0026737D" w:rsidP="0026737D">
      <w:pPr>
        <w:widowControl w:val="0"/>
        <w:numPr>
          <w:ilvl w:val="0"/>
          <w:numId w:val="1"/>
        </w:numPr>
        <w:tabs>
          <w:tab w:val="clear" w:pos="720"/>
        </w:tabs>
        <w:suppressAutoHyphens/>
        <w:jc w:val="both"/>
      </w:pPr>
      <w:r w:rsidRPr="00D15BC3">
        <w:t xml:space="preserve">Günter Grass: 1900. In: </w:t>
      </w:r>
      <w:r w:rsidRPr="00F2100B">
        <w:rPr>
          <w:i/>
        </w:rPr>
        <w:t>Günter Grass: My Century</w:t>
      </w:r>
      <w:r w:rsidRPr="00D15BC3">
        <w:t>. Trans. Michael Henry Heim. New York: Harcourt Brace, 1999</w:t>
      </w:r>
      <w:r>
        <w:t>.</w:t>
      </w:r>
    </w:p>
    <w:p w14:paraId="7F284A02" w14:textId="77777777" w:rsidR="0026737D" w:rsidRPr="00D15BC3" w:rsidRDefault="0026737D" w:rsidP="0026737D">
      <w:pPr>
        <w:widowControl w:val="0"/>
        <w:numPr>
          <w:ilvl w:val="0"/>
          <w:numId w:val="1"/>
        </w:numPr>
        <w:tabs>
          <w:tab w:val="clear" w:pos="720"/>
        </w:tabs>
        <w:suppressAutoHyphens/>
        <w:jc w:val="both"/>
        <w:rPr>
          <w:rStyle w:val="FootnoteReference"/>
        </w:rPr>
      </w:pPr>
      <w:proofErr w:type="spellStart"/>
      <w:r w:rsidRPr="00D15BC3">
        <w:rPr>
          <w:rStyle w:val="FootnoteReference"/>
        </w:rPr>
        <w:t>Emine</w:t>
      </w:r>
      <w:proofErr w:type="spellEnd"/>
      <w:r w:rsidRPr="00D15BC3">
        <w:rPr>
          <w:rStyle w:val="FootnoteReference"/>
        </w:rPr>
        <w:t xml:space="preserve"> </w:t>
      </w:r>
      <w:proofErr w:type="spellStart"/>
      <w:r w:rsidRPr="00D15BC3">
        <w:rPr>
          <w:rStyle w:val="FootnoteReference"/>
        </w:rPr>
        <w:t>Sevgi</w:t>
      </w:r>
      <w:proofErr w:type="spellEnd"/>
      <w:r w:rsidRPr="00D15BC3">
        <w:rPr>
          <w:rStyle w:val="FootnoteReference"/>
        </w:rPr>
        <w:t xml:space="preserve"> </w:t>
      </w:r>
      <w:proofErr w:type="spellStart"/>
      <w:r w:rsidRPr="00D15BC3">
        <w:rPr>
          <w:rStyle w:val="FootnoteReference"/>
        </w:rPr>
        <w:t>Özdamar</w:t>
      </w:r>
      <w:proofErr w:type="spellEnd"/>
      <w:r w:rsidRPr="00D15BC3">
        <w:rPr>
          <w:rStyle w:val="FootnoteReference"/>
        </w:rPr>
        <w:t xml:space="preserve">: </w:t>
      </w:r>
      <w:r w:rsidRPr="00F2100B">
        <w:rPr>
          <w:rStyle w:val="FootnoteReference"/>
          <w:i/>
        </w:rPr>
        <w:t>The Bridge of the Golden Horn</w:t>
      </w:r>
      <w:r w:rsidRPr="00D15BC3">
        <w:rPr>
          <w:rStyle w:val="FootnoteReference"/>
        </w:rPr>
        <w:t>. Transl. Martin Chalmers. London: Serpent's Tail, 2007</w:t>
      </w:r>
      <w:r>
        <w:t>.</w:t>
      </w:r>
    </w:p>
    <w:p w14:paraId="47AC184D" w14:textId="77777777" w:rsidR="0026737D" w:rsidRDefault="0026737D" w:rsidP="0026737D">
      <w:pPr>
        <w:pStyle w:val="FootnoteText"/>
        <w:numPr>
          <w:ilvl w:val="0"/>
          <w:numId w:val="1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D15BC3">
        <w:rPr>
          <w:sz w:val="24"/>
          <w:szCs w:val="24"/>
        </w:rPr>
        <w:t>Rafik</w:t>
      </w:r>
      <w:proofErr w:type="spellEnd"/>
      <w:r w:rsidRPr="00D15BC3">
        <w:rPr>
          <w:sz w:val="24"/>
          <w:szCs w:val="24"/>
        </w:rPr>
        <w:t xml:space="preserve"> </w:t>
      </w:r>
      <w:proofErr w:type="spellStart"/>
      <w:r w:rsidRPr="00D15BC3">
        <w:rPr>
          <w:sz w:val="24"/>
          <w:szCs w:val="24"/>
        </w:rPr>
        <w:t>Schami</w:t>
      </w:r>
      <w:proofErr w:type="spellEnd"/>
      <w:r w:rsidRPr="00D15BC3">
        <w:rPr>
          <w:sz w:val="24"/>
          <w:szCs w:val="24"/>
        </w:rPr>
        <w:t xml:space="preserve">: </w:t>
      </w:r>
      <w:r w:rsidRPr="00F2100B">
        <w:rPr>
          <w:i/>
          <w:sz w:val="24"/>
          <w:szCs w:val="24"/>
        </w:rPr>
        <w:t>Damascus Nights</w:t>
      </w:r>
      <w:r w:rsidRPr="00D15BC3">
        <w:rPr>
          <w:sz w:val="24"/>
          <w:szCs w:val="24"/>
        </w:rPr>
        <w:t>. Trans. Philip Boehm. New York: Simon &amp; Schuster, 1995</w:t>
      </w:r>
      <w:r>
        <w:rPr>
          <w:sz w:val="24"/>
          <w:szCs w:val="24"/>
        </w:rPr>
        <w:t>.</w:t>
      </w:r>
    </w:p>
    <w:p w14:paraId="302D1944" w14:textId="77777777" w:rsidR="0026737D" w:rsidRDefault="0026737D" w:rsidP="0026737D">
      <w:pPr>
        <w:pStyle w:val="FootnoteText"/>
        <w:jc w:val="both"/>
        <w:rPr>
          <w:sz w:val="24"/>
          <w:szCs w:val="24"/>
        </w:rPr>
      </w:pPr>
    </w:p>
    <w:p w14:paraId="4D2F10A2" w14:textId="77777777" w:rsidR="0026737D" w:rsidRDefault="0026737D" w:rsidP="0026737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9DE2E8" w14:textId="77777777" w:rsidR="0026737D" w:rsidRPr="000F7496" w:rsidRDefault="0026737D" w:rsidP="0026737D">
      <w:pPr>
        <w:ind w:left="540" w:hanging="360"/>
        <w:jc w:val="both"/>
        <w:rPr>
          <w:b/>
          <w:u w:val="single"/>
        </w:rPr>
      </w:pPr>
      <w:r>
        <w:rPr>
          <w:b/>
          <w:color w:val="000000"/>
          <w:u w:val="single"/>
        </w:rPr>
        <w:t xml:space="preserve">Reading List in </w:t>
      </w:r>
      <w:r>
        <w:rPr>
          <w:b/>
          <w:u w:val="single"/>
        </w:rPr>
        <w:t>Spanish</w:t>
      </w:r>
    </w:p>
    <w:p w14:paraId="41169FC5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  <w:tab w:val="num" w:pos="-2880"/>
        </w:tabs>
        <w:suppressAutoHyphens/>
        <w:ind w:left="540"/>
        <w:jc w:val="both"/>
      </w:pPr>
      <w:proofErr w:type="spellStart"/>
      <w:r>
        <w:t>Carpentier</w:t>
      </w:r>
      <w:proofErr w:type="spellEnd"/>
      <w:r>
        <w:t xml:space="preserve">, </w:t>
      </w:r>
      <w:proofErr w:type="spellStart"/>
      <w:r>
        <w:t>Alejo</w:t>
      </w:r>
      <w:proofErr w:type="spellEnd"/>
      <w:r>
        <w:t xml:space="preserve">, </w:t>
      </w:r>
      <w:r>
        <w:rPr>
          <w:i/>
          <w:iCs/>
        </w:rPr>
        <w:t xml:space="preserve">The Kingdom of this world </w:t>
      </w:r>
      <w:r>
        <w:t xml:space="preserve">(1949), Farrar Straus and Giroux, 2006. </w:t>
      </w:r>
    </w:p>
    <w:p w14:paraId="1BFC18F8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  <w:tab w:val="left" w:pos="270"/>
        </w:tabs>
        <w:suppressAutoHyphens/>
        <w:ind w:left="540"/>
        <w:jc w:val="both"/>
      </w:pPr>
      <w:r>
        <w:t xml:space="preserve">Neruda, Pablo, </w:t>
      </w:r>
      <w:r>
        <w:rPr>
          <w:i/>
          <w:iCs/>
        </w:rPr>
        <w:t xml:space="preserve">Heights of </w:t>
      </w:r>
      <w:proofErr w:type="spellStart"/>
      <w:r>
        <w:rPr>
          <w:i/>
          <w:iCs/>
        </w:rPr>
        <w:t>Macchu</w:t>
      </w:r>
      <w:proofErr w:type="spellEnd"/>
      <w:r>
        <w:rPr>
          <w:i/>
          <w:iCs/>
        </w:rPr>
        <w:t xml:space="preserve"> Picchu </w:t>
      </w:r>
      <w:r>
        <w:t xml:space="preserve">(1950), Farrar Straus and Giroux, 1967. </w:t>
      </w:r>
    </w:p>
    <w:p w14:paraId="315691C0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  <w:tab w:val="left" w:pos="270"/>
        </w:tabs>
        <w:suppressAutoHyphens/>
        <w:ind w:left="540"/>
        <w:jc w:val="both"/>
      </w:pPr>
      <w:r>
        <w:t xml:space="preserve">Ortega, Julio and Fuentes, Carlos,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Vintage Book of Latin American Stories</w:t>
      </w:r>
      <w:r>
        <w:t xml:space="preserve">, </w:t>
      </w:r>
      <w:r>
        <w:rPr>
          <w:color w:val="333333"/>
        </w:rPr>
        <w:t xml:space="preserve">Knopf Doubleday Publishing Group, 2000.  </w:t>
      </w:r>
      <w:r>
        <w:t xml:space="preserve"> </w:t>
      </w:r>
    </w:p>
    <w:p w14:paraId="61223A4E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/>
        <w:jc w:val="both"/>
      </w:pPr>
      <w:r>
        <w:t xml:space="preserve">Julio </w:t>
      </w:r>
      <w:proofErr w:type="spellStart"/>
      <w:r>
        <w:t>Cortazar</w:t>
      </w:r>
      <w:proofErr w:type="spellEnd"/>
      <w:r>
        <w:t xml:space="preserve">, </w:t>
      </w:r>
      <w:r>
        <w:rPr>
          <w:i/>
          <w:iCs/>
        </w:rPr>
        <w:t>Blow-up and other stories</w:t>
      </w:r>
      <w:r>
        <w:t xml:space="preserve">, </w:t>
      </w:r>
      <w:r>
        <w:rPr>
          <w:color w:val="333333"/>
        </w:rPr>
        <w:t>Doubleday Publishing Group, 1985.</w:t>
      </w:r>
    </w:p>
    <w:p w14:paraId="7923AE14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/>
        <w:jc w:val="both"/>
      </w:pPr>
      <w:r>
        <w:t xml:space="preserve">Allende, Isabel, </w:t>
      </w:r>
      <w:r>
        <w:rPr>
          <w:i/>
          <w:iCs/>
        </w:rPr>
        <w:t xml:space="preserve">Stories of Eva Luna </w:t>
      </w:r>
      <w:r>
        <w:t>(1990), Penguin Books, 2011.</w:t>
      </w:r>
    </w:p>
    <w:p w14:paraId="68DA3D1C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/>
        <w:jc w:val="both"/>
      </w:pPr>
      <w:r>
        <w:t xml:space="preserve">Valenzuela, Luisa, </w:t>
      </w:r>
      <w:r>
        <w:rPr>
          <w:i/>
          <w:iCs/>
        </w:rPr>
        <w:t xml:space="preserve">Clara </w:t>
      </w:r>
      <w:r>
        <w:t xml:space="preserve">(1966), Latin American Literary Review Press, 1999. </w:t>
      </w:r>
    </w:p>
    <w:p w14:paraId="17674127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/>
        <w:jc w:val="both"/>
      </w:pPr>
      <w:r>
        <w:t xml:space="preserve">Giaconda Belli,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Inhabited Woman</w:t>
      </w:r>
      <w:r>
        <w:t xml:space="preserve"> (1988), University of Wisconsin Press, 2004.</w:t>
      </w:r>
    </w:p>
    <w:p w14:paraId="6F3B30CF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/>
        <w:jc w:val="both"/>
      </w:pPr>
      <w:proofErr w:type="spellStart"/>
      <w:r>
        <w:t>Stavans</w:t>
      </w:r>
      <w:proofErr w:type="spellEnd"/>
      <w:r>
        <w:t xml:space="preserve">, </w:t>
      </w:r>
      <w:proofErr w:type="spellStart"/>
      <w:r>
        <w:t>Ilan</w:t>
      </w:r>
      <w:proofErr w:type="spellEnd"/>
      <w:r>
        <w:t xml:space="preserve">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FSG Book of Twentieth Century Latin American Poetry</w:t>
      </w:r>
      <w:r>
        <w:t xml:space="preserve">, Farrar, Straus and Giroux, 2011. </w:t>
      </w:r>
    </w:p>
    <w:p w14:paraId="4CCC6584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/>
        <w:jc w:val="both"/>
      </w:pPr>
      <w:proofErr w:type="spellStart"/>
      <w:r>
        <w:t>Correas</w:t>
      </w:r>
      <w:proofErr w:type="spellEnd"/>
      <w:r>
        <w:t xml:space="preserve"> Zapata, Celia, </w:t>
      </w:r>
      <w:r>
        <w:rPr>
          <w:i/>
          <w:iCs/>
        </w:rPr>
        <w:t>Short Stories by Latin American Women</w:t>
      </w:r>
      <w:r>
        <w:t xml:space="preserve">, Random House Publishing Group, 2003. </w:t>
      </w:r>
    </w:p>
    <w:p w14:paraId="585F5D95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/>
        <w:jc w:val="both"/>
      </w:pPr>
      <w:r>
        <w:t xml:space="preserve">Rey Rosa, Rodrigo,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Good Cripple</w:t>
      </w:r>
      <w:r>
        <w:t xml:space="preserve">, New Directions Publishing Corporation, 2004. </w:t>
      </w:r>
    </w:p>
    <w:p w14:paraId="5D95F4CB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/>
        <w:jc w:val="both"/>
      </w:pPr>
      <w:r>
        <w:t xml:space="preserve">Castellanos Moya,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She-Devil in the Mirror</w:t>
      </w:r>
      <w:r>
        <w:t>, New Directions Publishing Corporation, 2009.</w:t>
      </w:r>
    </w:p>
    <w:p w14:paraId="5CDCFD84" w14:textId="77777777" w:rsidR="0026737D" w:rsidRDefault="0026737D" w:rsidP="0026737D">
      <w:pPr>
        <w:widowControl w:val="0"/>
        <w:numPr>
          <w:ilvl w:val="0"/>
          <w:numId w:val="2"/>
        </w:numPr>
        <w:tabs>
          <w:tab w:val="clear" w:pos="720"/>
        </w:tabs>
        <w:suppressAutoHyphens/>
        <w:ind w:left="540"/>
        <w:jc w:val="both"/>
      </w:pPr>
      <w:proofErr w:type="spellStart"/>
      <w:r>
        <w:t>Skarmeta</w:t>
      </w:r>
      <w:proofErr w:type="spellEnd"/>
      <w:r>
        <w:t xml:space="preserve">, Antonio,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Postman</w:t>
      </w:r>
      <w:r>
        <w:t xml:space="preserve"> (1985), W. W Norton and Co., 2008.  </w:t>
      </w:r>
    </w:p>
    <w:p w14:paraId="24F68EC4" w14:textId="77777777" w:rsidR="0026737D" w:rsidRDefault="0026737D" w:rsidP="0026737D">
      <w:pPr>
        <w:ind w:left="540" w:hanging="360"/>
        <w:jc w:val="both"/>
      </w:pPr>
    </w:p>
    <w:p w14:paraId="21CFB891" w14:textId="77777777" w:rsidR="0026737D" w:rsidRDefault="0026737D" w:rsidP="0026737D">
      <w:pPr>
        <w:jc w:val="both"/>
      </w:pPr>
    </w:p>
    <w:p w14:paraId="438A2450" w14:textId="77777777" w:rsidR="0026737D" w:rsidRPr="007E2B0C" w:rsidRDefault="0026737D" w:rsidP="0026737D">
      <w:pPr>
        <w:ind w:left="360"/>
        <w:jc w:val="both"/>
      </w:pPr>
    </w:p>
    <w:p w14:paraId="259FE1FD" w14:textId="77777777" w:rsidR="0026737D" w:rsidRPr="000B466E" w:rsidRDefault="0026737D" w:rsidP="0026737D">
      <w:pPr>
        <w:tabs>
          <w:tab w:val="left" w:pos="3870"/>
        </w:tabs>
        <w:jc w:val="both"/>
        <w:rPr>
          <w:b/>
          <w:u w:val="single"/>
        </w:rPr>
      </w:pPr>
      <w:r>
        <w:rPr>
          <w:b/>
          <w:color w:val="000000"/>
          <w:u w:val="single"/>
        </w:rPr>
        <w:t xml:space="preserve">Reading in </w:t>
      </w:r>
      <w:r>
        <w:rPr>
          <w:b/>
          <w:u w:val="single"/>
        </w:rPr>
        <w:t>Italian</w:t>
      </w:r>
    </w:p>
    <w:p w14:paraId="01AD60FC" w14:textId="77777777" w:rsidR="0026737D" w:rsidRDefault="0026737D" w:rsidP="0026737D">
      <w:pPr>
        <w:numPr>
          <w:ilvl w:val="0"/>
          <w:numId w:val="4"/>
        </w:numPr>
        <w:spacing w:after="200" w:line="276" w:lineRule="auto"/>
        <w:contextualSpacing/>
        <w:jc w:val="both"/>
      </w:pPr>
      <w:proofErr w:type="spellStart"/>
      <w:r>
        <w:t>Ennio</w:t>
      </w:r>
      <w:proofErr w:type="spellEnd"/>
      <w:r>
        <w:t xml:space="preserve"> </w:t>
      </w:r>
      <w:proofErr w:type="spellStart"/>
      <w:r>
        <w:t>Flaiano</w:t>
      </w:r>
      <w:proofErr w:type="spellEnd"/>
      <w:r>
        <w:t xml:space="preserve">, </w:t>
      </w:r>
      <w:r w:rsidRPr="007E2B0C">
        <w:rPr>
          <w:i/>
        </w:rPr>
        <w:t xml:space="preserve">A Time to </w:t>
      </w:r>
      <w:proofErr w:type="gramStart"/>
      <w:r w:rsidRPr="007E2B0C">
        <w:rPr>
          <w:i/>
        </w:rPr>
        <w:t>Kill(</w:t>
      </w:r>
      <w:proofErr w:type="gramEnd"/>
      <w:r w:rsidRPr="007E2B0C">
        <w:rPr>
          <w:i/>
        </w:rPr>
        <w:t>1947),</w:t>
      </w:r>
      <w:r>
        <w:t>t</w:t>
      </w:r>
      <w:r w:rsidRPr="007E2B0C">
        <w:t>rans. by Stuart Hood, The Marlboro Press, 1994.</w:t>
      </w:r>
    </w:p>
    <w:p w14:paraId="736E4E41" w14:textId="77777777" w:rsidR="0026737D" w:rsidRPr="003762B4" w:rsidRDefault="0026737D" w:rsidP="0026737D">
      <w:pPr>
        <w:numPr>
          <w:ilvl w:val="0"/>
          <w:numId w:val="4"/>
        </w:numPr>
        <w:spacing w:after="200" w:line="276" w:lineRule="auto"/>
        <w:contextualSpacing/>
      </w:pPr>
      <w:proofErr w:type="spellStart"/>
      <w:r w:rsidRPr="007E2B0C">
        <w:t>Safiya</w:t>
      </w:r>
      <w:proofErr w:type="spellEnd"/>
      <w:r w:rsidRPr="007E2B0C">
        <w:t xml:space="preserve"> </w:t>
      </w:r>
      <w:proofErr w:type="spellStart"/>
      <w:r w:rsidRPr="007E2B0C">
        <w:t>Hussayini</w:t>
      </w:r>
      <w:proofErr w:type="spellEnd"/>
      <w:r w:rsidRPr="007E2B0C">
        <w:t xml:space="preserve"> </w:t>
      </w:r>
      <w:proofErr w:type="spellStart"/>
      <w:r w:rsidRPr="007E2B0C">
        <w:t>Tungar</w:t>
      </w:r>
      <w:proofErr w:type="spellEnd"/>
      <w:r w:rsidRPr="007E2B0C">
        <w:t xml:space="preserve"> </w:t>
      </w:r>
      <w:proofErr w:type="spellStart"/>
      <w:r w:rsidRPr="007E2B0C">
        <w:t>Tudu</w:t>
      </w:r>
      <w:proofErr w:type="spellEnd"/>
      <w:r w:rsidRPr="007E2B0C">
        <w:t xml:space="preserve">, </w:t>
      </w:r>
      <w:r>
        <w:rPr>
          <w:i/>
        </w:rPr>
        <w:t>I</w:t>
      </w:r>
      <w:r w:rsidRPr="007E2B0C">
        <w:rPr>
          <w:i/>
        </w:rPr>
        <w:t xml:space="preserve"> Safiya, </w:t>
      </w:r>
      <w:r w:rsidRPr="007E2B0C">
        <w:t>trans</w:t>
      </w:r>
      <w:r>
        <w:t>.</w:t>
      </w:r>
      <w:r w:rsidRPr="007E2B0C">
        <w:t xml:space="preserve"> by </w:t>
      </w:r>
      <w:proofErr w:type="spellStart"/>
      <w:r w:rsidRPr="007E2B0C">
        <w:t>Raffaele</w:t>
      </w:r>
      <w:proofErr w:type="spellEnd"/>
      <w:r w:rsidRPr="007E2B0C">
        <w:t xml:space="preserve"> </w:t>
      </w:r>
      <w:proofErr w:type="spellStart"/>
      <w:r w:rsidRPr="007E2B0C">
        <w:t>Masto</w:t>
      </w:r>
      <w:proofErr w:type="spellEnd"/>
      <w:r w:rsidRPr="007E2B0C">
        <w:t xml:space="preserve">, </w:t>
      </w:r>
      <w:proofErr w:type="spellStart"/>
      <w:r w:rsidRPr="007E2B0C">
        <w:t>Sperling</w:t>
      </w:r>
      <w:proofErr w:type="spellEnd"/>
      <w:r w:rsidRPr="007E2B0C">
        <w:t xml:space="preserve"> &amp; </w:t>
      </w:r>
      <w:proofErr w:type="spellStart"/>
      <w:r w:rsidRPr="007E2B0C">
        <w:t>Kupfer</w:t>
      </w:r>
      <w:proofErr w:type="spellEnd"/>
      <w:r w:rsidRPr="007E2B0C">
        <w:t>, Macmillan, 2003.</w:t>
      </w:r>
    </w:p>
    <w:p w14:paraId="69BD01FC" w14:textId="77777777" w:rsidR="0026737D" w:rsidRPr="003762B4" w:rsidRDefault="0026737D" w:rsidP="0026737D">
      <w:pPr>
        <w:numPr>
          <w:ilvl w:val="0"/>
          <w:numId w:val="4"/>
        </w:numPr>
        <w:tabs>
          <w:tab w:val="left" w:pos="720"/>
        </w:tabs>
        <w:contextualSpacing/>
      </w:pPr>
      <w:r w:rsidRPr="00785304">
        <w:rPr>
          <w:lang w:val="en-IN"/>
        </w:rPr>
        <w:t xml:space="preserve">Laila </w:t>
      </w:r>
      <w:proofErr w:type="spellStart"/>
      <w:r w:rsidRPr="00785304">
        <w:rPr>
          <w:lang w:val="en-IN"/>
        </w:rPr>
        <w:t>Wadia</w:t>
      </w:r>
      <w:proofErr w:type="spellEnd"/>
      <w:r w:rsidRPr="00785304">
        <w:rPr>
          <w:lang w:val="en-IN"/>
        </w:rPr>
        <w:t xml:space="preserve">, </w:t>
      </w:r>
      <w:r w:rsidRPr="00785304">
        <w:rPr>
          <w:i/>
          <w:lang w:val="en-IN"/>
        </w:rPr>
        <w:t xml:space="preserve">Curry al </w:t>
      </w:r>
      <w:proofErr w:type="spellStart"/>
      <w:r w:rsidRPr="00785304">
        <w:rPr>
          <w:i/>
          <w:lang w:val="en-IN"/>
        </w:rPr>
        <w:t>pollo</w:t>
      </w:r>
      <w:proofErr w:type="spellEnd"/>
      <w:r w:rsidRPr="00785304">
        <w:rPr>
          <w:lang w:val="en-IN"/>
        </w:rPr>
        <w:t xml:space="preserve"> (2005), </w:t>
      </w:r>
      <w:r w:rsidRPr="003762B4">
        <w:rPr>
          <w:rStyle w:val="Emphasis"/>
          <w:rFonts w:eastAsia="Droid Sans Fallback"/>
          <w:i w:val="0"/>
          <w:iCs w:val="0"/>
          <w:color w:val="000000"/>
          <w:shd w:val="clear" w:color="auto" w:fill="FFFFFF"/>
        </w:rPr>
        <w:t xml:space="preserve">trans. </w:t>
      </w:r>
      <w:proofErr w:type="spellStart"/>
      <w:r w:rsidRPr="003762B4">
        <w:rPr>
          <w:rStyle w:val="Emphasis"/>
          <w:rFonts w:eastAsia="Droid Sans Fallback"/>
          <w:i w:val="0"/>
          <w:iCs w:val="0"/>
          <w:color w:val="000000"/>
          <w:shd w:val="clear" w:color="auto" w:fill="FFFFFF"/>
        </w:rPr>
        <w:t>i</w:t>
      </w:r>
      <w:proofErr w:type="spellEnd"/>
      <w:r w:rsidRPr="00785304">
        <w:rPr>
          <w:lang w:val="en-IN"/>
        </w:rPr>
        <w:t xml:space="preserve">n </w:t>
      </w:r>
      <w:hyperlink r:id="rId9" w:tgtFrame="_blank" w:history="1">
        <w:r w:rsidRPr="003762B4">
          <w:rPr>
            <w:rStyle w:val="Hyperlink"/>
            <w:color w:val="1155CC"/>
            <w:shd w:val="clear" w:color="auto" w:fill="FFFFFF"/>
          </w:rPr>
          <w:t>www.smith.edu/metamorphoses/issues/links/wadiachicken.html</w:t>
        </w:r>
      </w:hyperlink>
    </w:p>
    <w:p w14:paraId="13020062" w14:textId="77777777" w:rsidR="0026737D" w:rsidRPr="003762B4" w:rsidRDefault="0026737D" w:rsidP="0026737D">
      <w:pPr>
        <w:numPr>
          <w:ilvl w:val="0"/>
          <w:numId w:val="4"/>
        </w:numPr>
        <w:tabs>
          <w:tab w:val="left" w:pos="720"/>
        </w:tabs>
        <w:contextualSpacing/>
        <w:jc w:val="both"/>
      </w:pPr>
      <w:r w:rsidRPr="003762B4">
        <w:t xml:space="preserve">Pap </w:t>
      </w:r>
      <w:proofErr w:type="spellStart"/>
      <w:r w:rsidRPr="003762B4">
        <w:t>Khouma</w:t>
      </w:r>
      <w:proofErr w:type="spellEnd"/>
      <w:r w:rsidRPr="003762B4">
        <w:t xml:space="preserve">, </w:t>
      </w:r>
      <w:r w:rsidRPr="003762B4">
        <w:rPr>
          <w:i/>
        </w:rPr>
        <w:t xml:space="preserve">I was an Elephant Salesman: Adventures Between Dakar, Paris, and Milan(1990), </w:t>
      </w:r>
      <w:r w:rsidRPr="003762B4">
        <w:t>trans.</w:t>
      </w:r>
      <w:r w:rsidRPr="003762B4">
        <w:rPr>
          <w:i/>
        </w:rPr>
        <w:t xml:space="preserve"> </w:t>
      </w:r>
      <w:proofErr w:type="spellStart"/>
      <w:r w:rsidRPr="003762B4">
        <w:t>Graziella</w:t>
      </w:r>
      <w:proofErr w:type="spellEnd"/>
      <w:r w:rsidRPr="003762B4">
        <w:t xml:space="preserve"> </w:t>
      </w:r>
      <w:proofErr w:type="spellStart"/>
      <w:r w:rsidRPr="003762B4">
        <w:t>Parati</w:t>
      </w:r>
      <w:proofErr w:type="spellEnd"/>
      <w:r w:rsidRPr="003762B4">
        <w:t>, Rebecca Hopkins, Indiana University Press, 2010</w:t>
      </w:r>
    </w:p>
    <w:p w14:paraId="4ED56F4A" w14:textId="77777777" w:rsidR="0026737D" w:rsidRDefault="0026737D" w:rsidP="0026737D">
      <w:pPr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Amara </w:t>
      </w:r>
      <w:proofErr w:type="spellStart"/>
      <w:r>
        <w:t>Lakhous</w:t>
      </w:r>
      <w:proofErr w:type="spellEnd"/>
      <w:r w:rsidRPr="007E2B0C">
        <w:t>,</w:t>
      </w:r>
      <w:r>
        <w:t xml:space="preserve"> </w:t>
      </w:r>
      <w:r w:rsidRPr="007E2B0C">
        <w:rPr>
          <w:i/>
        </w:rPr>
        <w:t>Divorce Islamic Style</w:t>
      </w:r>
      <w:r w:rsidRPr="007E2B0C">
        <w:t xml:space="preserve"> (2005), trans</w:t>
      </w:r>
      <w:r>
        <w:t>. by Ann Goldstein, Europa E</w:t>
      </w:r>
      <w:r w:rsidRPr="007E2B0C">
        <w:t>ditions, 2012.</w:t>
      </w:r>
    </w:p>
    <w:p w14:paraId="6D1B52DB" w14:textId="77777777" w:rsidR="0026737D" w:rsidRPr="00E24925" w:rsidRDefault="0026737D" w:rsidP="0026737D">
      <w:pPr>
        <w:numPr>
          <w:ilvl w:val="0"/>
          <w:numId w:val="4"/>
        </w:numPr>
        <w:spacing w:after="200" w:line="276" w:lineRule="auto"/>
        <w:contextualSpacing/>
        <w:jc w:val="both"/>
      </w:pPr>
      <w:r>
        <w:t xml:space="preserve">Amara </w:t>
      </w:r>
      <w:proofErr w:type="spellStart"/>
      <w:r>
        <w:t>Lakhou</w:t>
      </w:r>
      <w:proofErr w:type="gramStart"/>
      <w:r w:rsidRPr="007E2B0C">
        <w:t>,</w:t>
      </w:r>
      <w:r w:rsidRPr="007E2B0C">
        <w:rPr>
          <w:i/>
        </w:rPr>
        <w:t>Clash</w:t>
      </w:r>
      <w:proofErr w:type="spellEnd"/>
      <w:proofErr w:type="gramEnd"/>
      <w:r w:rsidRPr="007E2B0C">
        <w:rPr>
          <w:i/>
        </w:rPr>
        <w:t xml:space="preserve"> of Civilizations Over an Elevato</w:t>
      </w:r>
      <w:r>
        <w:rPr>
          <w:i/>
        </w:rPr>
        <w:t>r in Piazza Vittorio</w:t>
      </w:r>
      <w:r w:rsidRPr="007E2B0C">
        <w:rPr>
          <w:i/>
        </w:rPr>
        <w:t xml:space="preserve"> (2006),</w:t>
      </w:r>
      <w:r w:rsidRPr="007E2B0C">
        <w:t xml:space="preserve">trans by Ann Goldstein, Europa Editions, 2008. </w:t>
      </w:r>
    </w:p>
    <w:p w14:paraId="4C4687C1" w14:textId="77777777" w:rsidR="0026737D" w:rsidRPr="00853951" w:rsidRDefault="0026737D" w:rsidP="0026737D">
      <w:pPr>
        <w:numPr>
          <w:ilvl w:val="0"/>
          <w:numId w:val="4"/>
        </w:numPr>
        <w:spacing w:after="200" w:line="276" w:lineRule="auto"/>
        <w:contextualSpacing/>
        <w:jc w:val="both"/>
        <w:rPr>
          <w:i/>
        </w:rPr>
      </w:pPr>
      <w:r>
        <w:t>Pier Paolo Pasolini</w:t>
      </w:r>
      <w:r w:rsidRPr="007E2B0C">
        <w:rPr>
          <w:i/>
        </w:rPr>
        <w:t xml:space="preserve">, </w:t>
      </w:r>
      <w:proofErr w:type="gramStart"/>
      <w:r w:rsidRPr="007E2B0C">
        <w:rPr>
          <w:i/>
        </w:rPr>
        <w:t>The</w:t>
      </w:r>
      <w:proofErr w:type="gramEnd"/>
      <w:r w:rsidRPr="007E2B0C">
        <w:rPr>
          <w:i/>
        </w:rPr>
        <w:t xml:space="preserve"> Scent of India (1962), </w:t>
      </w:r>
      <w:r w:rsidRPr="007E2B0C">
        <w:t>trans. by David Clive Price, Olive Hill House, 1984</w:t>
      </w:r>
      <w:r w:rsidRPr="007E2B0C">
        <w:rPr>
          <w:i/>
        </w:rPr>
        <w:t xml:space="preserve">. </w:t>
      </w:r>
      <w:r w:rsidRPr="007E2B0C">
        <w:rPr>
          <w:i/>
        </w:rPr>
        <w:tab/>
      </w:r>
    </w:p>
    <w:p w14:paraId="48D2DC0B" w14:textId="77777777" w:rsidR="0026737D" w:rsidRPr="00853951" w:rsidRDefault="0026737D" w:rsidP="0026737D">
      <w:pPr>
        <w:numPr>
          <w:ilvl w:val="0"/>
          <w:numId w:val="4"/>
        </w:numPr>
        <w:spacing w:after="200" w:line="276" w:lineRule="auto"/>
        <w:contextualSpacing/>
        <w:jc w:val="both"/>
        <w:rPr>
          <w:i/>
        </w:rPr>
      </w:pPr>
      <w:r>
        <w:t xml:space="preserve">Antonio </w:t>
      </w:r>
      <w:proofErr w:type="spellStart"/>
      <w:r>
        <w:t>Tabucchi</w:t>
      </w:r>
      <w:proofErr w:type="spellEnd"/>
      <w:r w:rsidRPr="007E2B0C">
        <w:rPr>
          <w:i/>
        </w:rPr>
        <w:t xml:space="preserve">, Indian Nocturne (1984), </w:t>
      </w:r>
      <w:r w:rsidRPr="007E2B0C">
        <w:t>trans. by Tim Parks</w:t>
      </w:r>
      <w:r w:rsidRPr="007E2B0C">
        <w:rPr>
          <w:i/>
        </w:rPr>
        <w:t xml:space="preserve">, </w:t>
      </w:r>
      <w:r w:rsidRPr="007E2B0C">
        <w:t>New Directions, 1989.</w:t>
      </w:r>
      <w:r w:rsidRPr="007E2B0C">
        <w:rPr>
          <w:i/>
        </w:rPr>
        <w:t xml:space="preserve"> </w:t>
      </w:r>
    </w:p>
    <w:p w14:paraId="5FA36538" w14:textId="77777777" w:rsidR="0026737D" w:rsidRDefault="0026737D" w:rsidP="00475B26">
      <w:pPr>
        <w:jc w:val="both"/>
        <w:rPr>
          <w:color w:val="000000" w:themeColor="text1"/>
        </w:rPr>
      </w:pPr>
    </w:p>
    <w:p w14:paraId="7835D92D" w14:textId="77777777" w:rsidR="00475B26" w:rsidRDefault="00475B26" w:rsidP="00475B26">
      <w:pPr>
        <w:jc w:val="both"/>
        <w:rPr>
          <w:color w:val="000000" w:themeColor="text1"/>
        </w:rPr>
      </w:pPr>
    </w:p>
    <w:p w14:paraId="44D97EDF" w14:textId="77777777" w:rsidR="00475B26" w:rsidRDefault="00475B26" w:rsidP="00475B26">
      <w:pPr>
        <w:jc w:val="both"/>
        <w:rPr>
          <w:color w:val="000000" w:themeColor="text1"/>
        </w:rPr>
      </w:pPr>
    </w:p>
    <w:p w14:paraId="4FD9A440" w14:textId="77777777" w:rsidR="005855BA" w:rsidRDefault="00785304"/>
    <w:sectPr w:rsidR="00585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AB273C"/>
    <w:multiLevelType w:val="hybridMultilevel"/>
    <w:tmpl w:val="C08E8E66"/>
    <w:lvl w:ilvl="0" w:tplc="5AFAB7E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6A615C3E"/>
    <w:multiLevelType w:val="hybridMultilevel"/>
    <w:tmpl w:val="2A929FD0"/>
    <w:lvl w:ilvl="0" w:tplc="72EA1A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B07C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4F"/>
    <w:rsid w:val="0026737D"/>
    <w:rsid w:val="002F44C4"/>
    <w:rsid w:val="00475B26"/>
    <w:rsid w:val="00785304"/>
    <w:rsid w:val="007E034F"/>
    <w:rsid w:val="00E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84D1"/>
  <w15:chartTrackingRefBased/>
  <w15:docId w15:val="{30A477AF-3230-4FD4-AB28-72623231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5B26"/>
    <w:pPr>
      <w:keepNext/>
      <w:outlineLvl w:val="0"/>
    </w:pPr>
    <w:rPr>
      <w:color w:val="0000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B26"/>
    <w:rPr>
      <w:rFonts w:ascii="Times New Roman" w:eastAsia="Times New Roman" w:hAnsi="Times New Roman" w:cs="Times New Roman"/>
      <w:color w:val="000080"/>
      <w:sz w:val="72"/>
      <w:szCs w:val="72"/>
      <w:lang w:val="en-US"/>
    </w:rPr>
  </w:style>
  <w:style w:type="paragraph" w:styleId="Header">
    <w:name w:val="header"/>
    <w:basedOn w:val="Normal"/>
    <w:link w:val="HeaderChar"/>
    <w:rsid w:val="00475B2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5B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5B26"/>
    <w:pPr>
      <w:ind w:left="720"/>
      <w:contextualSpacing/>
    </w:pPr>
    <w:rPr>
      <w:rFonts w:ascii="Calibri" w:eastAsia="Calibri" w:hAnsi="Calibri" w:cs="Vrind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75B2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2673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uiPriority w:val="20"/>
    <w:qFormat/>
    <w:rsid w:val="0026737D"/>
    <w:rPr>
      <w:i/>
      <w:iCs/>
    </w:rPr>
  </w:style>
  <w:style w:type="character" w:styleId="FootnoteReference">
    <w:name w:val="footnote reference"/>
    <w:rsid w:val="0026737D"/>
    <w:rPr>
      <w:vertAlign w:val="superscript"/>
    </w:rPr>
  </w:style>
  <w:style w:type="character" w:styleId="Hyperlink">
    <w:name w:val="Hyperlink"/>
    <w:rsid w:val="0026737D"/>
    <w:rPr>
      <w:color w:val="000080"/>
      <w:u w:val="single"/>
    </w:rPr>
  </w:style>
  <w:style w:type="character" w:styleId="Strong">
    <w:name w:val="Strong"/>
    <w:uiPriority w:val="22"/>
    <w:qFormat/>
    <w:rsid w:val="0026737D"/>
    <w:rPr>
      <w:b/>
      <w:bCs/>
    </w:rPr>
  </w:style>
  <w:style w:type="paragraph" w:styleId="FootnoteText">
    <w:name w:val="footnote text"/>
    <w:basedOn w:val="Normal"/>
    <w:link w:val="FootnoteTextChar"/>
    <w:rsid w:val="0026737D"/>
    <w:pPr>
      <w:widowControl w:val="0"/>
      <w:suppressLineNumbers/>
      <w:suppressAutoHyphens/>
      <w:ind w:left="283" w:hanging="283"/>
    </w:pPr>
    <w:rPr>
      <w:rFonts w:eastAsia="Droid Sans Fallback" w:cs="Lohit Hindi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26737D"/>
    <w:rPr>
      <w:rFonts w:ascii="Times New Roman" w:eastAsia="Droid Sans Fallback" w:hAnsi="Times New Roman" w:cs="Lohit Hindi"/>
      <w:kern w:val="1"/>
      <w:sz w:val="20"/>
      <w:szCs w:val="20"/>
      <w:lang w:val="en-US" w:eastAsia="hi-IN" w:bidi="hi-IN"/>
    </w:rPr>
  </w:style>
  <w:style w:type="character" w:customStyle="1" w:styleId="apple-converted-space">
    <w:name w:val="apple-converted-space"/>
    <w:rsid w:val="0026737D"/>
  </w:style>
  <w:style w:type="character" w:customStyle="1" w:styleId="ptbrand">
    <w:name w:val="ptbrand"/>
    <w:rsid w:val="0026737D"/>
  </w:style>
  <w:style w:type="character" w:customStyle="1" w:styleId="bindingandrelease">
    <w:name w:val="bindingandrelease"/>
    <w:rsid w:val="0026737D"/>
  </w:style>
  <w:style w:type="character" w:customStyle="1" w:styleId="searchterm">
    <w:name w:val="searchterm"/>
    <w:rsid w:val="0026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ibooks.com/book/the-retur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Notebook-Return-Native-Wesleyan-Poetry/dp/0819564524/ref=sr_1_4?s=books&amp;ie=UTF8&amp;qid=1350197622&amp;sr=1-4&amp;keywords=Aime+Cesaire%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Land-without-Shadows-Abdourahman-Waberi/dp/0813925088/ref=sr_1_7?s=books&amp;ie=UTF8&amp;qid=1350197799&amp;sr=1-7&amp;keywords=Wabe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Abdourahman-A.-Waberi/e/B001JRZ3AK/ref=sr_ntt_srch_lnk_7?qid=1350197799&amp;sr=1-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ith.edu/metamorphoses/issues/links/wadiachic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Aryav Bhola</dc:creator>
  <cp:keywords/>
  <dc:description/>
  <cp:lastModifiedBy>Manisha Bhola</cp:lastModifiedBy>
  <cp:revision>2</cp:revision>
  <dcterms:created xsi:type="dcterms:W3CDTF">2021-01-04T08:01:00Z</dcterms:created>
  <dcterms:modified xsi:type="dcterms:W3CDTF">2021-01-04T08:01:00Z</dcterms:modified>
</cp:coreProperties>
</file>